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16633" w14:textId="77777777" w:rsidR="001E696D" w:rsidRDefault="001E696D" w:rsidP="00072988">
      <w:pPr>
        <w:pStyle w:val="Heading2"/>
        <w:jc w:val="both"/>
      </w:pPr>
      <w:bookmarkStart w:id="0" w:name="_Toc229557048"/>
      <w:bookmarkStart w:id="1" w:name="chapter-5-financing-plan-and-instruments"/>
      <w:bookmarkStart w:id="2" w:name="open-questions-and-limitations"/>
      <w:bookmarkStart w:id="3" w:name="Xa98f4dc0c8b99e5cd5fbf4be10e9fb467ba0dbe"/>
      <w:bookmarkStart w:id="4" w:name="pipeline-and-screening-annexes"/>
      <w:r>
        <w:t>Pipeline and screening annexes</w:t>
      </w:r>
      <w:bookmarkEnd w:id="0"/>
    </w:p>
    <w:p w14:paraId="7CEA7F1A" w14:textId="77777777" w:rsidR="001E696D" w:rsidRDefault="001E696D" w:rsidP="00072988">
      <w:pPr>
        <w:pStyle w:val="Heading3"/>
        <w:jc w:val="both"/>
      </w:pPr>
      <w:bookmarkStart w:id="5" w:name="_Toc229557049"/>
      <w:bookmarkStart w:id="6" w:name="annex-3-project-pipeline-intake-template"/>
      <w:r>
        <w:t>Annex 3 — Project Pipeline Intake Template</w:t>
      </w:r>
      <w:bookmarkEnd w:id="5"/>
    </w:p>
    <w:p w14:paraId="4B1AFAB6" w14:textId="77777777" w:rsidR="001E696D" w:rsidRDefault="001E696D" w:rsidP="00072988">
      <w:pPr>
        <w:pStyle w:val="FirstParagraph"/>
        <w:jc w:val="both"/>
      </w:pPr>
      <w:r w:rsidRPr="2BF627A0">
        <w:rPr>
          <w:lang w:val="en-US"/>
        </w:rPr>
        <w:t>The Project Information Note template below should be the single mandatory intake format for project submissions from ADB, IFC, WB, EBRD, and line ministries. It is designed to standardize early-stage information so that the MoEF secretariat can compare proposals across sovereign and non-sovereign structures, sectors, and sponsors. It is also designed to prevent a common failure in programmatic climate plans: weak comparability across proposals. The template is grounded in the need for a dynamic pipeline and in the evidence that Uzbekistan’s data environment is uneven and must therefore be standardized early.</w:t>
      </w:r>
    </w:p>
    <w:tbl>
      <w:tblPr>
        <w:tblStyle w:val="ListTable3-Accent1"/>
        <w:tblW w:w="0" w:type="auto"/>
        <w:tblLook w:val="0020" w:firstRow="1" w:lastRow="0" w:firstColumn="0" w:lastColumn="0" w:noHBand="0" w:noVBand="0"/>
      </w:tblPr>
      <w:tblGrid>
        <w:gridCol w:w="1632"/>
        <w:gridCol w:w="6582"/>
        <w:gridCol w:w="1136"/>
      </w:tblGrid>
      <w:tr w:rsidR="001E696D" w:rsidRPr="00977AFB" w14:paraId="7C10FDCA" w14:textId="77777777" w:rsidTr="2BF627A0">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510F21B" w14:textId="77777777" w:rsidR="001E696D" w:rsidRPr="00977AFB" w:rsidRDefault="001E696D" w:rsidP="00072988">
            <w:pPr>
              <w:pStyle w:val="Compact"/>
              <w:jc w:val="both"/>
              <w:rPr>
                <w:sz w:val="16"/>
                <w:szCs w:val="16"/>
              </w:rPr>
            </w:pPr>
            <w:r w:rsidRPr="00977AFB">
              <w:rPr>
                <w:sz w:val="16"/>
                <w:szCs w:val="16"/>
              </w:rPr>
              <w:t>Field</w:t>
            </w:r>
          </w:p>
        </w:tc>
        <w:tc>
          <w:tcPr>
            <w:tcW w:w="0" w:type="auto"/>
          </w:tcPr>
          <w:p w14:paraId="5624D56B" w14:textId="77777777" w:rsidR="001E696D" w:rsidRPr="00977AFB" w:rsidRDefault="001E696D" w:rsidP="00072988">
            <w:pPr>
              <w:pStyle w:val="Compact"/>
              <w:jc w:val="both"/>
              <w:cnfStyle w:val="100000000000" w:firstRow="1" w:lastRow="0" w:firstColumn="0" w:lastColumn="0" w:oddVBand="0" w:evenVBand="0" w:oddHBand="0" w:evenHBand="0" w:firstRowFirstColumn="0" w:firstRowLastColumn="0" w:lastRowFirstColumn="0" w:lastRowLastColumn="0"/>
              <w:rPr>
                <w:sz w:val="16"/>
                <w:szCs w:val="16"/>
              </w:rPr>
            </w:pPr>
            <w:r w:rsidRPr="00977AFB">
              <w:rPr>
                <w:sz w:val="16"/>
                <w:szCs w:val="16"/>
              </w:rPr>
              <w:t>Required content</w:t>
            </w:r>
          </w:p>
        </w:tc>
        <w:tc>
          <w:tcPr>
            <w:cnfStyle w:val="000010000000" w:firstRow="0" w:lastRow="0" w:firstColumn="0" w:lastColumn="0" w:oddVBand="1" w:evenVBand="0" w:oddHBand="0" w:evenHBand="0" w:firstRowFirstColumn="0" w:firstRowLastColumn="0" w:lastRowFirstColumn="0" w:lastRowLastColumn="0"/>
            <w:tcW w:w="0" w:type="auto"/>
          </w:tcPr>
          <w:p w14:paraId="5E1C3B04" w14:textId="77777777" w:rsidR="001E696D" w:rsidRPr="00977AFB" w:rsidRDefault="001E696D" w:rsidP="00072988">
            <w:pPr>
              <w:pStyle w:val="Compact"/>
              <w:jc w:val="both"/>
              <w:rPr>
                <w:sz w:val="16"/>
                <w:szCs w:val="16"/>
              </w:rPr>
            </w:pPr>
            <w:r w:rsidRPr="00977AFB">
              <w:rPr>
                <w:sz w:val="16"/>
                <w:szCs w:val="16"/>
              </w:rPr>
              <w:t>Mandatory at intake</w:t>
            </w:r>
          </w:p>
        </w:tc>
      </w:tr>
      <w:tr w:rsidR="001E696D" w:rsidRPr="00977AFB" w14:paraId="1AE4653E"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2E51975" w14:textId="77777777" w:rsidR="001E696D" w:rsidRPr="00977AFB" w:rsidRDefault="001E696D" w:rsidP="00072988">
            <w:pPr>
              <w:pStyle w:val="Compact"/>
              <w:jc w:val="both"/>
              <w:rPr>
                <w:sz w:val="16"/>
                <w:szCs w:val="16"/>
              </w:rPr>
            </w:pPr>
            <w:r w:rsidRPr="00977AFB">
              <w:rPr>
                <w:sz w:val="16"/>
                <w:szCs w:val="16"/>
              </w:rPr>
              <w:t>Project title</w:t>
            </w:r>
          </w:p>
        </w:tc>
        <w:tc>
          <w:tcPr>
            <w:tcW w:w="0" w:type="auto"/>
          </w:tcPr>
          <w:p w14:paraId="1A0E66B6"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Provisional working title</w:t>
            </w:r>
          </w:p>
        </w:tc>
        <w:tc>
          <w:tcPr>
            <w:cnfStyle w:val="000010000000" w:firstRow="0" w:lastRow="0" w:firstColumn="0" w:lastColumn="0" w:oddVBand="1" w:evenVBand="0" w:oddHBand="0" w:evenHBand="0" w:firstRowFirstColumn="0" w:firstRowLastColumn="0" w:lastRowFirstColumn="0" w:lastRowLastColumn="0"/>
            <w:tcW w:w="0" w:type="auto"/>
          </w:tcPr>
          <w:p w14:paraId="3587195A"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5CED8D8C"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470CC34E" w14:textId="77777777" w:rsidR="001E696D" w:rsidRPr="00977AFB" w:rsidRDefault="001E696D" w:rsidP="00072988">
            <w:pPr>
              <w:pStyle w:val="Compact"/>
              <w:jc w:val="both"/>
              <w:rPr>
                <w:sz w:val="16"/>
                <w:szCs w:val="16"/>
              </w:rPr>
            </w:pPr>
            <w:r w:rsidRPr="00977AFB">
              <w:rPr>
                <w:sz w:val="16"/>
                <w:szCs w:val="16"/>
              </w:rPr>
              <w:t>Proponent</w:t>
            </w:r>
          </w:p>
        </w:tc>
        <w:tc>
          <w:tcPr>
            <w:tcW w:w="0" w:type="auto"/>
          </w:tcPr>
          <w:p w14:paraId="4FAD61A0" w14:textId="77777777" w:rsidR="001E696D" w:rsidRPr="00977AFB" w:rsidRDefault="001E696D" w:rsidP="00072988">
            <w:pPr>
              <w:pStyle w:val="Compact"/>
              <w:jc w:val="both"/>
              <w:cnfStyle w:val="000000000000" w:firstRow="0" w:lastRow="0" w:firstColumn="0" w:lastColumn="0" w:oddVBand="0" w:evenVBand="0" w:oddHBand="0" w:evenHBand="0" w:firstRowFirstColumn="0" w:firstRowLastColumn="0" w:lastRowFirstColumn="0" w:lastRowLastColumn="0"/>
              <w:rPr>
                <w:sz w:val="16"/>
                <w:szCs w:val="16"/>
              </w:rPr>
            </w:pPr>
            <w:r w:rsidRPr="00977AFB">
              <w:rPr>
                <w:sz w:val="16"/>
                <w:szCs w:val="16"/>
              </w:rPr>
              <w:t>Sponsoring company, agency, bank, park operator, or ministry</w:t>
            </w:r>
          </w:p>
        </w:tc>
        <w:tc>
          <w:tcPr>
            <w:cnfStyle w:val="000010000000" w:firstRow="0" w:lastRow="0" w:firstColumn="0" w:lastColumn="0" w:oddVBand="1" w:evenVBand="0" w:oddHBand="0" w:evenHBand="0" w:firstRowFirstColumn="0" w:firstRowLastColumn="0" w:lastRowFirstColumn="0" w:lastRowLastColumn="0"/>
            <w:tcW w:w="0" w:type="auto"/>
          </w:tcPr>
          <w:p w14:paraId="49870C3E"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0D939692"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05C2AB3" w14:textId="77777777" w:rsidR="001E696D" w:rsidRPr="00977AFB" w:rsidRDefault="001E696D" w:rsidP="00072988">
            <w:pPr>
              <w:pStyle w:val="Compact"/>
              <w:jc w:val="both"/>
              <w:rPr>
                <w:sz w:val="16"/>
                <w:szCs w:val="16"/>
              </w:rPr>
            </w:pPr>
            <w:r w:rsidRPr="00977AFB">
              <w:rPr>
                <w:sz w:val="16"/>
                <w:szCs w:val="16"/>
              </w:rPr>
              <w:t>MDB lead</w:t>
            </w:r>
          </w:p>
        </w:tc>
        <w:tc>
          <w:tcPr>
            <w:tcW w:w="0" w:type="auto"/>
          </w:tcPr>
          <w:p w14:paraId="0ADECBA7"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Proposed lead MDB; “TBD” only if line-ministry concept at earliest stage</w:t>
            </w:r>
          </w:p>
        </w:tc>
        <w:tc>
          <w:tcPr>
            <w:cnfStyle w:val="000010000000" w:firstRow="0" w:lastRow="0" w:firstColumn="0" w:lastColumn="0" w:oddVBand="1" w:evenVBand="0" w:oddHBand="0" w:evenHBand="0" w:firstRowFirstColumn="0" w:firstRowLastColumn="0" w:lastRowFirstColumn="0" w:lastRowLastColumn="0"/>
            <w:tcW w:w="0" w:type="auto"/>
          </w:tcPr>
          <w:p w14:paraId="2037891B"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66ECD333"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720416A2" w14:textId="77777777" w:rsidR="001E696D" w:rsidRPr="00977AFB" w:rsidRDefault="001E696D" w:rsidP="00072988">
            <w:pPr>
              <w:pStyle w:val="Compact"/>
              <w:jc w:val="both"/>
              <w:rPr>
                <w:sz w:val="16"/>
                <w:szCs w:val="16"/>
              </w:rPr>
            </w:pPr>
            <w:r w:rsidRPr="00977AFB">
              <w:rPr>
                <w:sz w:val="16"/>
                <w:szCs w:val="16"/>
              </w:rPr>
              <w:t>Line ministry</w:t>
            </w:r>
          </w:p>
        </w:tc>
        <w:tc>
          <w:tcPr>
            <w:tcW w:w="0" w:type="auto"/>
          </w:tcPr>
          <w:p w14:paraId="21E53C84" w14:textId="77777777" w:rsidR="001E696D" w:rsidRPr="00977AFB" w:rsidRDefault="001E696D" w:rsidP="00072988">
            <w:pPr>
              <w:pStyle w:val="Compact"/>
              <w:jc w:val="both"/>
              <w:cnfStyle w:val="000000000000" w:firstRow="0" w:lastRow="0" w:firstColumn="0" w:lastColumn="0" w:oddVBand="0" w:evenVBand="0" w:oddHBand="0" w:evenHBand="0" w:firstRowFirstColumn="0" w:firstRowLastColumn="0" w:lastRowFirstColumn="0" w:lastRowLastColumn="0"/>
              <w:rPr>
                <w:sz w:val="16"/>
                <w:szCs w:val="16"/>
              </w:rPr>
            </w:pPr>
            <w:r w:rsidRPr="00977AFB">
              <w:rPr>
                <w:sz w:val="16"/>
                <w:szCs w:val="16"/>
              </w:rPr>
              <w:t>Responsible policy ministry or public counterpart</w:t>
            </w:r>
          </w:p>
        </w:tc>
        <w:tc>
          <w:tcPr>
            <w:cnfStyle w:val="000010000000" w:firstRow="0" w:lastRow="0" w:firstColumn="0" w:lastColumn="0" w:oddVBand="1" w:evenVBand="0" w:oddHBand="0" w:evenHBand="0" w:firstRowFirstColumn="0" w:firstRowLastColumn="0" w:lastRowFirstColumn="0" w:lastRowLastColumn="0"/>
            <w:tcW w:w="0" w:type="auto"/>
          </w:tcPr>
          <w:p w14:paraId="724F4A93"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44C0D7E9"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66F37A7" w14:textId="77777777" w:rsidR="001E696D" w:rsidRPr="00977AFB" w:rsidRDefault="001E696D" w:rsidP="00072988">
            <w:pPr>
              <w:pStyle w:val="Compact"/>
              <w:rPr>
                <w:sz w:val="16"/>
                <w:szCs w:val="16"/>
              </w:rPr>
            </w:pPr>
            <w:r>
              <w:rPr>
                <w:sz w:val="16"/>
              </w:rPr>
              <w:t>Sector</w:t>
            </w:r>
          </w:p>
        </w:tc>
        <w:tc>
          <w:tcPr>
            <w:tcW w:w="0" w:type="auto"/>
          </w:tcPr>
          <w:p w14:paraId="13B6B945" w14:textId="77777777" w:rsidR="001E696D" w:rsidRPr="00977AFB" w:rsidRDefault="001E696D" w:rsidP="00072988">
            <w:pPr>
              <w:pStyle w:val="Compact"/>
              <w:cnfStyle w:val="000000100000" w:firstRow="0" w:lastRow="0" w:firstColumn="0" w:lastColumn="0" w:oddVBand="0" w:evenVBand="0" w:oddHBand="1" w:evenHBand="0" w:firstRowFirstColumn="0" w:firstRowLastColumn="0" w:lastRowFirstColumn="0" w:lastRowLastColumn="0"/>
              <w:rPr>
                <w:sz w:val="16"/>
                <w:szCs w:val="16"/>
              </w:rPr>
            </w:pPr>
            <w:r>
              <w:rPr>
                <w:sz w:val="16"/>
              </w:rPr>
              <w:t>Metallurgy; chemicals/fertilizers; non-metallic minerals / cement; textiles; food and beverages; engineering / manufacturing; industrial zone; FI; TA; cross-sectoral activities (e.g., on-site PV / batteries, boiler replacement, energy efficiency programs applicable across industrial sectors); other eligible complementary area</w:t>
            </w:r>
          </w:p>
        </w:tc>
        <w:tc>
          <w:tcPr>
            <w:cnfStyle w:val="000010000000" w:firstRow="0" w:lastRow="0" w:firstColumn="0" w:lastColumn="0" w:oddVBand="1" w:evenVBand="0" w:oddHBand="0" w:evenHBand="0" w:firstRowFirstColumn="0" w:firstRowLastColumn="0" w:lastRowFirstColumn="0" w:lastRowLastColumn="0"/>
            <w:tcW w:w="0" w:type="auto"/>
          </w:tcPr>
          <w:p w14:paraId="63EE3700" w14:textId="77777777" w:rsidR="001E696D" w:rsidRPr="00977AFB" w:rsidRDefault="001E696D" w:rsidP="00072988">
            <w:pPr>
              <w:pStyle w:val="Compact"/>
              <w:rPr>
                <w:sz w:val="16"/>
                <w:szCs w:val="16"/>
              </w:rPr>
            </w:pPr>
            <w:r>
              <w:rPr>
                <w:sz w:val="16"/>
              </w:rPr>
              <w:t>Yes</w:t>
            </w:r>
          </w:p>
        </w:tc>
      </w:tr>
      <w:tr w:rsidR="001E696D" w:rsidRPr="00977AFB" w14:paraId="1587115B"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3527E87A" w14:textId="77777777" w:rsidR="001E696D" w:rsidRPr="00977AFB" w:rsidRDefault="001E696D" w:rsidP="00072988">
            <w:pPr>
              <w:pStyle w:val="Compact"/>
              <w:jc w:val="both"/>
              <w:rPr>
                <w:sz w:val="16"/>
                <w:szCs w:val="16"/>
              </w:rPr>
            </w:pPr>
            <w:r w:rsidRPr="00977AFB">
              <w:rPr>
                <w:sz w:val="16"/>
                <w:szCs w:val="16"/>
              </w:rPr>
              <w:t>Location</w:t>
            </w:r>
          </w:p>
        </w:tc>
        <w:tc>
          <w:tcPr>
            <w:tcW w:w="0" w:type="auto"/>
          </w:tcPr>
          <w:p w14:paraId="570E5A33" w14:textId="77777777" w:rsidR="001E696D" w:rsidRPr="00977AFB" w:rsidRDefault="001E696D" w:rsidP="00072988">
            <w:pPr>
              <w:pStyle w:val="Compact"/>
              <w:jc w:val="both"/>
              <w:cnfStyle w:val="000000000000" w:firstRow="0" w:lastRow="0" w:firstColumn="0" w:lastColumn="0" w:oddVBand="0" w:evenVBand="0" w:oddHBand="0" w:evenHBand="0" w:firstRowFirstColumn="0" w:firstRowLastColumn="0" w:lastRowFirstColumn="0" w:lastRowLastColumn="0"/>
              <w:rPr>
                <w:sz w:val="16"/>
                <w:szCs w:val="16"/>
              </w:rPr>
            </w:pPr>
            <w:r w:rsidRPr="00977AFB">
              <w:rPr>
                <w:sz w:val="16"/>
                <w:szCs w:val="16"/>
              </w:rPr>
              <w:t>Region, district, industrial zone / park, or plant site</w:t>
            </w:r>
          </w:p>
        </w:tc>
        <w:tc>
          <w:tcPr>
            <w:cnfStyle w:val="000010000000" w:firstRow="0" w:lastRow="0" w:firstColumn="0" w:lastColumn="0" w:oddVBand="1" w:evenVBand="0" w:oddHBand="0" w:evenHBand="0" w:firstRowFirstColumn="0" w:firstRowLastColumn="0" w:lastRowFirstColumn="0" w:lastRowLastColumn="0"/>
            <w:tcW w:w="0" w:type="auto"/>
          </w:tcPr>
          <w:p w14:paraId="5CA7341D"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4D85D559"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9B19B35" w14:textId="77777777" w:rsidR="001E696D" w:rsidRPr="00977AFB" w:rsidRDefault="001E696D" w:rsidP="00072988">
            <w:pPr>
              <w:pStyle w:val="Compact"/>
              <w:jc w:val="both"/>
              <w:rPr>
                <w:sz w:val="16"/>
                <w:szCs w:val="16"/>
              </w:rPr>
            </w:pPr>
            <w:r w:rsidRPr="00977AFB">
              <w:rPr>
                <w:sz w:val="16"/>
                <w:szCs w:val="16"/>
              </w:rPr>
              <w:t>Beneficiary type</w:t>
            </w:r>
          </w:p>
        </w:tc>
        <w:tc>
          <w:tcPr>
            <w:tcW w:w="0" w:type="auto"/>
          </w:tcPr>
          <w:p w14:paraId="2D9C4793"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Private company; SME; publicly owned commercial entity without sovereign guarantee; park operator; public agency; mixed structure</w:t>
            </w:r>
          </w:p>
        </w:tc>
        <w:tc>
          <w:tcPr>
            <w:cnfStyle w:val="000010000000" w:firstRow="0" w:lastRow="0" w:firstColumn="0" w:lastColumn="0" w:oddVBand="1" w:evenVBand="0" w:oddHBand="0" w:evenHBand="0" w:firstRowFirstColumn="0" w:firstRowLastColumn="0" w:lastRowFirstColumn="0" w:lastRowLastColumn="0"/>
            <w:tcW w:w="0" w:type="auto"/>
          </w:tcPr>
          <w:p w14:paraId="5F72ADE3"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79F0B26B"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2256A926" w14:textId="77777777" w:rsidR="001E696D" w:rsidRPr="00977AFB" w:rsidRDefault="001E696D" w:rsidP="00072988">
            <w:pPr>
              <w:pStyle w:val="Compact"/>
              <w:jc w:val="both"/>
              <w:rPr>
                <w:sz w:val="16"/>
                <w:szCs w:val="16"/>
              </w:rPr>
            </w:pPr>
            <w:r w:rsidRPr="00977AFB">
              <w:rPr>
                <w:sz w:val="16"/>
                <w:szCs w:val="16"/>
              </w:rPr>
              <w:t>Technology</w:t>
            </w:r>
          </w:p>
        </w:tc>
        <w:tc>
          <w:tcPr>
            <w:tcW w:w="0" w:type="auto"/>
          </w:tcPr>
          <w:p w14:paraId="71A3ED45" w14:textId="77777777" w:rsidR="001E696D" w:rsidRPr="00977AFB" w:rsidRDefault="001E696D" w:rsidP="00072988">
            <w:pPr>
              <w:pStyle w:val="Compact"/>
              <w:jc w:val="both"/>
              <w:cnfStyle w:val="000000000000" w:firstRow="0" w:lastRow="0" w:firstColumn="0" w:lastColumn="0" w:oddVBand="0" w:evenVBand="0" w:oddHBand="0" w:evenHBand="0" w:firstRowFirstColumn="0" w:firstRowLastColumn="0" w:lastRowFirstColumn="0" w:lastRowLastColumn="0"/>
              <w:rPr>
                <w:sz w:val="16"/>
                <w:szCs w:val="16"/>
              </w:rPr>
            </w:pPr>
            <w:r w:rsidRPr="00977AFB">
              <w:rPr>
                <w:sz w:val="16"/>
                <w:szCs w:val="16"/>
              </w:rPr>
              <w:t>Main decarbonization technology or package</w:t>
            </w:r>
          </w:p>
        </w:tc>
        <w:tc>
          <w:tcPr>
            <w:cnfStyle w:val="000010000000" w:firstRow="0" w:lastRow="0" w:firstColumn="0" w:lastColumn="0" w:oddVBand="1" w:evenVBand="0" w:oddHBand="0" w:evenHBand="0" w:firstRowFirstColumn="0" w:firstRowLastColumn="0" w:lastRowFirstColumn="0" w:lastRowLastColumn="0"/>
            <w:tcW w:w="0" w:type="auto"/>
          </w:tcPr>
          <w:p w14:paraId="38D2616F"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5E0FA8C7"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1F99D92" w14:textId="77777777" w:rsidR="001E696D" w:rsidRPr="00977AFB" w:rsidRDefault="001E696D" w:rsidP="00072988">
            <w:pPr>
              <w:pStyle w:val="Compact"/>
              <w:jc w:val="both"/>
              <w:rPr>
                <w:sz w:val="16"/>
                <w:szCs w:val="16"/>
              </w:rPr>
            </w:pPr>
            <w:r w:rsidRPr="00977AFB">
              <w:rPr>
                <w:sz w:val="16"/>
                <w:szCs w:val="16"/>
              </w:rPr>
              <w:t>CAPEX</w:t>
            </w:r>
          </w:p>
        </w:tc>
        <w:tc>
          <w:tcPr>
            <w:tcW w:w="0" w:type="auto"/>
          </w:tcPr>
          <w:p w14:paraId="001EB6B2"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Total indicative capital cost in US$ and, if available, local currency</w:t>
            </w:r>
          </w:p>
        </w:tc>
        <w:tc>
          <w:tcPr>
            <w:cnfStyle w:val="000010000000" w:firstRow="0" w:lastRow="0" w:firstColumn="0" w:lastColumn="0" w:oddVBand="1" w:evenVBand="0" w:oddHBand="0" w:evenHBand="0" w:firstRowFirstColumn="0" w:firstRowLastColumn="0" w:lastRowFirstColumn="0" w:lastRowLastColumn="0"/>
            <w:tcW w:w="0" w:type="auto"/>
          </w:tcPr>
          <w:p w14:paraId="3553772C"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1DF3E1A1"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3D4B58C6" w14:textId="77777777" w:rsidR="001E696D" w:rsidRPr="00977AFB" w:rsidRDefault="001E696D" w:rsidP="00072988">
            <w:pPr>
              <w:pStyle w:val="Compact"/>
              <w:rPr>
                <w:sz w:val="16"/>
                <w:szCs w:val="16"/>
              </w:rPr>
            </w:pPr>
            <w:r>
              <w:rPr>
                <w:sz w:val="16"/>
              </w:rPr>
              <w:t>OPEX impact</w:t>
            </w:r>
          </w:p>
        </w:tc>
        <w:tc>
          <w:tcPr>
            <w:tcW w:w="0" w:type="auto"/>
          </w:tcPr>
          <w:p w14:paraId="0E997C59" w14:textId="77777777" w:rsidR="001E696D" w:rsidRPr="00977AFB" w:rsidRDefault="001E696D" w:rsidP="00072988">
            <w:pPr>
              <w:pStyle w:val="Compact"/>
              <w:cnfStyle w:val="000000000000" w:firstRow="0" w:lastRow="0" w:firstColumn="0" w:lastColumn="0" w:oddVBand="0" w:evenVBand="0" w:oddHBand="0" w:evenHBand="0" w:firstRowFirstColumn="0" w:firstRowLastColumn="0" w:lastRowFirstColumn="0" w:lastRowLastColumn="0"/>
              <w:rPr>
                <w:sz w:val="16"/>
                <w:szCs w:val="16"/>
              </w:rPr>
            </w:pPr>
            <w:r>
              <w:rPr>
                <w:sz w:val="16"/>
              </w:rPr>
              <w:t>Estimated annual OPEX impact compared to the baseline without the intervention, including key fuel, electricity, heat, maintenance, consumables, water, waste, and other material operating cost changes, with key assumptions.</w:t>
            </w:r>
          </w:p>
        </w:tc>
        <w:tc>
          <w:tcPr>
            <w:cnfStyle w:val="000010000000" w:firstRow="0" w:lastRow="0" w:firstColumn="0" w:lastColumn="0" w:oddVBand="1" w:evenVBand="0" w:oddHBand="0" w:evenHBand="0" w:firstRowFirstColumn="0" w:firstRowLastColumn="0" w:lastRowFirstColumn="0" w:lastRowLastColumn="0"/>
            <w:tcW w:w="0" w:type="auto"/>
          </w:tcPr>
          <w:p w14:paraId="314422B2" w14:textId="77777777" w:rsidR="001E696D" w:rsidRPr="00977AFB" w:rsidRDefault="001E696D" w:rsidP="00072988">
            <w:pPr>
              <w:pStyle w:val="Compact"/>
              <w:rPr>
                <w:sz w:val="16"/>
                <w:szCs w:val="16"/>
              </w:rPr>
            </w:pPr>
            <w:r>
              <w:rPr>
                <w:sz w:val="16"/>
              </w:rPr>
              <w:t>Yes</w:t>
            </w:r>
          </w:p>
        </w:tc>
      </w:tr>
      <w:tr w:rsidR="001E696D" w:rsidRPr="00977AFB" w14:paraId="18D804F8"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9CAC1B2" w14:textId="77777777" w:rsidR="001E696D" w:rsidRPr="00977AFB" w:rsidRDefault="001E696D" w:rsidP="00072988">
            <w:pPr>
              <w:pStyle w:val="Compact"/>
              <w:jc w:val="both"/>
              <w:rPr>
                <w:sz w:val="16"/>
                <w:szCs w:val="16"/>
              </w:rPr>
            </w:pPr>
            <w:r w:rsidRPr="00977AFB">
              <w:rPr>
                <w:sz w:val="16"/>
                <w:szCs w:val="16"/>
              </w:rPr>
              <w:t>Requested CIF</w:t>
            </w:r>
          </w:p>
        </w:tc>
        <w:tc>
          <w:tcPr>
            <w:tcW w:w="0" w:type="auto"/>
          </w:tcPr>
          <w:p w14:paraId="1275969E"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Requested CIF amount, instrument, and rationale</w:t>
            </w:r>
          </w:p>
        </w:tc>
        <w:tc>
          <w:tcPr>
            <w:cnfStyle w:val="000010000000" w:firstRow="0" w:lastRow="0" w:firstColumn="0" w:lastColumn="0" w:oddVBand="1" w:evenVBand="0" w:oddHBand="0" w:evenHBand="0" w:firstRowFirstColumn="0" w:firstRowLastColumn="0" w:lastRowFirstColumn="0" w:lastRowLastColumn="0"/>
            <w:tcW w:w="0" w:type="auto"/>
          </w:tcPr>
          <w:p w14:paraId="441FF3C7"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1A3CB547"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3243523F" w14:textId="77777777" w:rsidR="001E696D" w:rsidRPr="00977AFB" w:rsidRDefault="001E696D" w:rsidP="00072988">
            <w:pPr>
              <w:pStyle w:val="Compact"/>
              <w:jc w:val="both"/>
              <w:rPr>
                <w:sz w:val="16"/>
                <w:szCs w:val="16"/>
              </w:rPr>
            </w:pPr>
            <w:r w:rsidRPr="00977AFB">
              <w:rPr>
                <w:sz w:val="16"/>
                <w:szCs w:val="16"/>
              </w:rPr>
              <w:t>MDB co-finance</w:t>
            </w:r>
          </w:p>
        </w:tc>
        <w:tc>
          <w:tcPr>
            <w:tcW w:w="0" w:type="auto"/>
          </w:tcPr>
          <w:p w14:paraId="5BB6FE8C" w14:textId="77777777" w:rsidR="001E696D" w:rsidRPr="00977AFB" w:rsidRDefault="001E696D" w:rsidP="00072988">
            <w:pPr>
              <w:pStyle w:val="Compact"/>
              <w:jc w:val="both"/>
              <w:cnfStyle w:val="000000000000" w:firstRow="0" w:lastRow="0" w:firstColumn="0" w:lastColumn="0" w:oddVBand="0" w:evenVBand="0" w:oddHBand="0" w:evenHBand="0" w:firstRowFirstColumn="0" w:firstRowLastColumn="0" w:lastRowFirstColumn="0" w:lastRowLastColumn="0"/>
              <w:rPr>
                <w:sz w:val="16"/>
                <w:szCs w:val="16"/>
              </w:rPr>
            </w:pPr>
            <w:r w:rsidRPr="00977AFB">
              <w:rPr>
                <w:sz w:val="16"/>
                <w:szCs w:val="16"/>
              </w:rPr>
              <w:t>Indicative amount and instrument</w:t>
            </w:r>
          </w:p>
        </w:tc>
        <w:tc>
          <w:tcPr>
            <w:cnfStyle w:val="000010000000" w:firstRow="0" w:lastRow="0" w:firstColumn="0" w:lastColumn="0" w:oddVBand="1" w:evenVBand="0" w:oddHBand="0" w:evenHBand="0" w:firstRowFirstColumn="0" w:firstRowLastColumn="0" w:lastRowFirstColumn="0" w:lastRowLastColumn="0"/>
            <w:tcW w:w="0" w:type="auto"/>
          </w:tcPr>
          <w:p w14:paraId="16501B87"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0E2F00B2"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6033737" w14:textId="77777777" w:rsidR="001E696D" w:rsidRPr="00977AFB" w:rsidRDefault="001E696D" w:rsidP="00072988">
            <w:pPr>
              <w:pStyle w:val="Compact"/>
              <w:jc w:val="both"/>
              <w:rPr>
                <w:sz w:val="16"/>
                <w:szCs w:val="16"/>
              </w:rPr>
            </w:pPr>
            <w:r w:rsidRPr="00977AFB">
              <w:rPr>
                <w:sz w:val="16"/>
                <w:szCs w:val="16"/>
              </w:rPr>
              <w:t>Private co-finance</w:t>
            </w:r>
          </w:p>
        </w:tc>
        <w:tc>
          <w:tcPr>
            <w:tcW w:w="0" w:type="auto"/>
          </w:tcPr>
          <w:p w14:paraId="646A0B53"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Equity, commercial debt, FI lending, or other private resources</w:t>
            </w:r>
          </w:p>
        </w:tc>
        <w:tc>
          <w:tcPr>
            <w:cnfStyle w:val="000010000000" w:firstRow="0" w:lastRow="0" w:firstColumn="0" w:lastColumn="0" w:oddVBand="1" w:evenVBand="0" w:oddHBand="0" w:evenHBand="0" w:firstRowFirstColumn="0" w:firstRowLastColumn="0" w:lastRowFirstColumn="0" w:lastRowLastColumn="0"/>
            <w:tcW w:w="0" w:type="auto"/>
          </w:tcPr>
          <w:p w14:paraId="534160E5"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34786F4F"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3C3A556D" w14:textId="77777777" w:rsidR="001E696D" w:rsidRPr="00977AFB" w:rsidRDefault="001E696D" w:rsidP="00072988">
            <w:pPr>
              <w:pStyle w:val="Compact"/>
              <w:jc w:val="both"/>
              <w:rPr>
                <w:sz w:val="16"/>
                <w:szCs w:val="16"/>
              </w:rPr>
            </w:pPr>
            <w:r w:rsidRPr="00977AFB">
              <w:rPr>
                <w:sz w:val="16"/>
                <w:szCs w:val="16"/>
              </w:rPr>
              <w:t>Sovereign exposure</w:t>
            </w:r>
          </w:p>
        </w:tc>
        <w:tc>
          <w:tcPr>
            <w:tcW w:w="0" w:type="auto"/>
          </w:tcPr>
          <w:p w14:paraId="24EC093F" w14:textId="77777777" w:rsidR="001E696D" w:rsidRPr="00977AFB" w:rsidRDefault="001E696D" w:rsidP="00072988">
            <w:pPr>
              <w:pStyle w:val="Compact"/>
              <w:jc w:val="both"/>
              <w:cnfStyle w:val="000000000000" w:firstRow="0" w:lastRow="0" w:firstColumn="0" w:lastColumn="0" w:oddVBand="0" w:evenVBand="0" w:oddHBand="0" w:evenHBand="0" w:firstRowFirstColumn="0" w:firstRowLastColumn="0" w:lastRowFirstColumn="0" w:lastRowLastColumn="0"/>
              <w:rPr>
                <w:sz w:val="16"/>
                <w:szCs w:val="16"/>
              </w:rPr>
            </w:pPr>
            <w:r w:rsidRPr="00977AFB">
              <w:rPr>
                <w:sz w:val="16"/>
                <w:szCs w:val="16"/>
              </w:rPr>
              <w:t>Proposed NS / LS / S classification, plus one-line justification</w:t>
            </w:r>
          </w:p>
        </w:tc>
        <w:tc>
          <w:tcPr>
            <w:cnfStyle w:val="000010000000" w:firstRow="0" w:lastRow="0" w:firstColumn="0" w:lastColumn="0" w:oddVBand="1" w:evenVBand="0" w:oddHBand="0" w:evenHBand="0" w:firstRowFirstColumn="0" w:firstRowLastColumn="0" w:lastRowFirstColumn="0" w:lastRowLastColumn="0"/>
            <w:tcW w:w="0" w:type="auto"/>
          </w:tcPr>
          <w:p w14:paraId="0E2B76C7"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36A3945B"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52FA53" w14:textId="77777777" w:rsidR="001E696D" w:rsidRPr="00977AFB" w:rsidRDefault="001E696D" w:rsidP="00072988">
            <w:pPr>
              <w:pStyle w:val="Compact"/>
              <w:rPr>
                <w:sz w:val="16"/>
                <w:szCs w:val="16"/>
              </w:rPr>
            </w:pPr>
            <w:r>
              <w:rPr>
                <w:sz w:val="16"/>
              </w:rPr>
              <w:t>Expected GHG reduction</w:t>
            </w:r>
          </w:p>
        </w:tc>
        <w:tc>
          <w:tcPr>
            <w:tcW w:w="0" w:type="auto"/>
          </w:tcPr>
          <w:p w14:paraId="095A06B7" w14:textId="77777777" w:rsidR="001E696D" w:rsidRPr="00977AFB" w:rsidRDefault="001E696D" w:rsidP="2BF627A0">
            <w:pPr>
              <w:pStyle w:val="Compact"/>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rPr>
              <w:t>Annual tCO₂e avoided or reduced, with method note or placeholder. The method note should, at minimum, define baseline emissions; activity assumptions (e.g., tons of steel, ammonia, cement, textiles, etc.); key parameters and emission factors; emissions scope covered (Scope 1, Scope 2, and, where material, Scope 3); and whether reductions are gross or net.</w:t>
            </w:r>
          </w:p>
        </w:tc>
        <w:tc>
          <w:tcPr>
            <w:cnfStyle w:val="000010000000" w:firstRow="0" w:lastRow="0" w:firstColumn="0" w:lastColumn="0" w:oddVBand="1" w:evenVBand="0" w:oddHBand="0" w:evenHBand="0" w:firstRowFirstColumn="0" w:firstRowLastColumn="0" w:lastRowFirstColumn="0" w:lastRowLastColumn="0"/>
            <w:tcW w:w="0" w:type="auto"/>
          </w:tcPr>
          <w:p w14:paraId="5DC055AC" w14:textId="77777777" w:rsidR="001E696D" w:rsidRPr="00977AFB" w:rsidRDefault="001E696D" w:rsidP="00072988">
            <w:pPr>
              <w:pStyle w:val="Compact"/>
              <w:rPr>
                <w:sz w:val="16"/>
                <w:szCs w:val="16"/>
              </w:rPr>
            </w:pPr>
            <w:r>
              <w:rPr>
                <w:sz w:val="16"/>
              </w:rPr>
              <w:t>Yes</w:t>
            </w:r>
          </w:p>
        </w:tc>
      </w:tr>
      <w:tr w:rsidR="001E696D" w:rsidRPr="00977AFB" w14:paraId="7FCF1D8C"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3023A499" w14:textId="77777777" w:rsidR="001E696D" w:rsidRPr="00977AFB" w:rsidRDefault="001E696D" w:rsidP="00072988">
            <w:pPr>
              <w:pStyle w:val="Compact"/>
              <w:rPr>
                <w:sz w:val="16"/>
                <w:szCs w:val="16"/>
              </w:rPr>
            </w:pPr>
            <w:r>
              <w:rPr>
                <w:sz w:val="16"/>
              </w:rPr>
              <w:t>Expected abatement cost (USD/tCO₂)</w:t>
            </w:r>
          </w:p>
        </w:tc>
        <w:tc>
          <w:tcPr>
            <w:tcW w:w="0" w:type="auto"/>
          </w:tcPr>
          <w:p w14:paraId="626E4384" w14:textId="77777777" w:rsidR="001E696D" w:rsidRPr="00977AFB" w:rsidRDefault="001E696D" w:rsidP="2BF627A0">
            <w:pPr>
              <w:pStyle w:val="Compact"/>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rPr>
              <w:t>Estimated lifetime abatement cost in USD per tCO₂e avoided or reduced, calculated using CAPEX, expected OPEX impact versus baseline, project lifetime, and expected GHG reduction; include calculation method and key assumptions or placeholder if early stage.</w:t>
            </w:r>
          </w:p>
        </w:tc>
        <w:tc>
          <w:tcPr>
            <w:cnfStyle w:val="000010000000" w:firstRow="0" w:lastRow="0" w:firstColumn="0" w:lastColumn="0" w:oddVBand="1" w:evenVBand="0" w:oddHBand="0" w:evenHBand="0" w:firstRowFirstColumn="0" w:firstRowLastColumn="0" w:lastRowFirstColumn="0" w:lastRowLastColumn="0"/>
            <w:tcW w:w="0" w:type="auto"/>
          </w:tcPr>
          <w:p w14:paraId="3B211929" w14:textId="77777777" w:rsidR="001E696D" w:rsidRPr="00977AFB" w:rsidRDefault="001E696D" w:rsidP="00072988">
            <w:pPr>
              <w:pStyle w:val="Compact"/>
              <w:rPr>
                <w:sz w:val="16"/>
                <w:szCs w:val="16"/>
              </w:rPr>
            </w:pPr>
            <w:r>
              <w:rPr>
                <w:sz w:val="16"/>
              </w:rPr>
              <w:t>Yes</w:t>
            </w:r>
          </w:p>
        </w:tc>
      </w:tr>
      <w:tr w:rsidR="001E696D" w:rsidRPr="00977AFB" w14:paraId="344EF82F"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C7F3DFA" w14:textId="77777777" w:rsidR="001E696D" w:rsidRPr="00977AFB" w:rsidRDefault="001E696D" w:rsidP="00072988">
            <w:pPr>
              <w:pStyle w:val="Compact"/>
              <w:jc w:val="both"/>
              <w:rPr>
                <w:sz w:val="16"/>
                <w:szCs w:val="16"/>
              </w:rPr>
            </w:pPr>
            <w:r w:rsidRPr="00977AFB">
              <w:rPr>
                <w:sz w:val="16"/>
                <w:szCs w:val="16"/>
              </w:rPr>
              <w:t>Energy savings</w:t>
            </w:r>
          </w:p>
        </w:tc>
        <w:tc>
          <w:tcPr>
            <w:tcW w:w="0" w:type="auto"/>
          </w:tcPr>
          <w:p w14:paraId="78796E44"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Annual expected savings in electricity, fuel, heat, or water if material</w:t>
            </w:r>
          </w:p>
        </w:tc>
        <w:tc>
          <w:tcPr>
            <w:cnfStyle w:val="000010000000" w:firstRow="0" w:lastRow="0" w:firstColumn="0" w:lastColumn="0" w:oddVBand="1" w:evenVBand="0" w:oddHBand="0" w:evenHBand="0" w:firstRowFirstColumn="0" w:firstRowLastColumn="0" w:lastRowFirstColumn="0" w:lastRowLastColumn="0"/>
            <w:tcW w:w="0" w:type="auto"/>
          </w:tcPr>
          <w:p w14:paraId="65882DB9"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6F042245"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54940514" w14:textId="77777777" w:rsidR="001E696D" w:rsidRPr="00977AFB" w:rsidRDefault="001E696D" w:rsidP="00072988">
            <w:pPr>
              <w:pStyle w:val="Compact"/>
              <w:jc w:val="both"/>
              <w:rPr>
                <w:sz w:val="16"/>
                <w:szCs w:val="16"/>
              </w:rPr>
            </w:pPr>
            <w:r w:rsidRPr="00977AFB">
              <w:rPr>
                <w:sz w:val="16"/>
                <w:szCs w:val="16"/>
              </w:rPr>
              <w:t>Implementation readiness</w:t>
            </w:r>
          </w:p>
        </w:tc>
        <w:tc>
          <w:tcPr>
            <w:tcW w:w="0" w:type="auto"/>
          </w:tcPr>
          <w:p w14:paraId="4D93C095" w14:textId="77777777" w:rsidR="001E696D" w:rsidRPr="00977AFB" w:rsidRDefault="001E696D" w:rsidP="00072988">
            <w:pPr>
              <w:pStyle w:val="Compact"/>
              <w:jc w:val="both"/>
              <w:cnfStyle w:val="000000000000" w:firstRow="0" w:lastRow="0" w:firstColumn="0" w:lastColumn="0" w:oddVBand="0" w:evenVBand="0" w:oddHBand="0" w:evenHBand="0" w:firstRowFirstColumn="0" w:firstRowLastColumn="0" w:lastRowFirstColumn="0" w:lastRowLastColumn="0"/>
              <w:rPr>
                <w:sz w:val="16"/>
                <w:szCs w:val="16"/>
              </w:rPr>
            </w:pPr>
            <w:r w:rsidRPr="00977AFB">
              <w:rPr>
                <w:sz w:val="16"/>
                <w:szCs w:val="16"/>
              </w:rPr>
              <w:t>Concept / prefeasibility / feasibility / engineering / appraisal-ready</w:t>
            </w:r>
          </w:p>
        </w:tc>
        <w:tc>
          <w:tcPr>
            <w:cnfStyle w:val="000010000000" w:firstRow="0" w:lastRow="0" w:firstColumn="0" w:lastColumn="0" w:oddVBand="1" w:evenVBand="0" w:oddHBand="0" w:evenHBand="0" w:firstRowFirstColumn="0" w:firstRowLastColumn="0" w:lastRowFirstColumn="0" w:lastRowLastColumn="0"/>
            <w:tcW w:w="0" w:type="auto"/>
          </w:tcPr>
          <w:p w14:paraId="384FF8AF"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59CCC338"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CA3A2F6" w14:textId="77777777" w:rsidR="001E696D" w:rsidRPr="00977AFB" w:rsidRDefault="001E696D" w:rsidP="00072988">
            <w:pPr>
              <w:pStyle w:val="Compact"/>
              <w:jc w:val="both"/>
              <w:rPr>
                <w:sz w:val="16"/>
                <w:szCs w:val="16"/>
              </w:rPr>
            </w:pPr>
            <w:r w:rsidRPr="00977AFB">
              <w:rPr>
                <w:sz w:val="16"/>
                <w:szCs w:val="16"/>
              </w:rPr>
              <w:t>Safeguards</w:t>
            </w:r>
          </w:p>
        </w:tc>
        <w:tc>
          <w:tcPr>
            <w:tcW w:w="0" w:type="auto"/>
          </w:tcPr>
          <w:p w14:paraId="7CAF6E70"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Expected E&amp;S risk category and studies completed / needed</w:t>
            </w:r>
          </w:p>
        </w:tc>
        <w:tc>
          <w:tcPr>
            <w:cnfStyle w:val="000010000000" w:firstRow="0" w:lastRow="0" w:firstColumn="0" w:lastColumn="0" w:oddVBand="1" w:evenVBand="0" w:oddHBand="0" w:evenHBand="0" w:firstRowFirstColumn="0" w:firstRowLastColumn="0" w:lastRowFirstColumn="0" w:lastRowLastColumn="0"/>
            <w:tcW w:w="0" w:type="auto"/>
          </w:tcPr>
          <w:p w14:paraId="712CABEE"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192C4EF5"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1F6A1BA1" w14:textId="77777777" w:rsidR="001E696D" w:rsidRPr="00977AFB" w:rsidRDefault="001E696D" w:rsidP="00072988">
            <w:pPr>
              <w:pStyle w:val="Compact"/>
              <w:jc w:val="both"/>
              <w:rPr>
                <w:sz w:val="16"/>
                <w:szCs w:val="16"/>
              </w:rPr>
            </w:pPr>
            <w:r w:rsidRPr="00977AFB">
              <w:rPr>
                <w:sz w:val="16"/>
                <w:szCs w:val="16"/>
              </w:rPr>
              <w:t>GESI</w:t>
            </w:r>
          </w:p>
        </w:tc>
        <w:tc>
          <w:tcPr>
            <w:tcW w:w="0" w:type="auto"/>
          </w:tcPr>
          <w:p w14:paraId="44B2B2A0" w14:textId="77777777" w:rsidR="001E696D" w:rsidRPr="00977AFB" w:rsidRDefault="001E696D" w:rsidP="00072988">
            <w:pPr>
              <w:pStyle w:val="Compact"/>
              <w:jc w:val="both"/>
              <w:cnfStyle w:val="000000000000" w:firstRow="0" w:lastRow="0" w:firstColumn="0" w:lastColumn="0" w:oddVBand="0" w:evenVBand="0" w:oddHBand="0" w:evenHBand="0" w:firstRowFirstColumn="0" w:firstRowLastColumn="0" w:lastRowFirstColumn="0" w:lastRowLastColumn="0"/>
              <w:rPr>
                <w:sz w:val="16"/>
                <w:szCs w:val="16"/>
              </w:rPr>
            </w:pPr>
            <w:r w:rsidRPr="00977AFB">
              <w:rPr>
                <w:sz w:val="16"/>
                <w:szCs w:val="16"/>
              </w:rPr>
              <w:t>Gender and inclusion issues, measures, and beneficiaries</w:t>
            </w:r>
          </w:p>
        </w:tc>
        <w:tc>
          <w:tcPr>
            <w:cnfStyle w:val="000010000000" w:firstRow="0" w:lastRow="0" w:firstColumn="0" w:lastColumn="0" w:oddVBand="1" w:evenVBand="0" w:oddHBand="0" w:evenHBand="0" w:firstRowFirstColumn="0" w:firstRowLastColumn="0" w:lastRowFirstColumn="0" w:lastRowLastColumn="0"/>
            <w:tcW w:w="0" w:type="auto"/>
          </w:tcPr>
          <w:p w14:paraId="167B7460"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7FF182A5"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3DDDCCD" w14:textId="77777777" w:rsidR="001E696D" w:rsidRPr="00977AFB" w:rsidRDefault="001E696D" w:rsidP="00072988">
            <w:pPr>
              <w:pStyle w:val="Compact"/>
              <w:jc w:val="both"/>
              <w:rPr>
                <w:sz w:val="16"/>
                <w:szCs w:val="16"/>
              </w:rPr>
            </w:pPr>
            <w:r w:rsidRPr="00977AFB">
              <w:rPr>
                <w:sz w:val="16"/>
                <w:szCs w:val="16"/>
              </w:rPr>
              <w:t>Just transition</w:t>
            </w:r>
          </w:p>
        </w:tc>
        <w:tc>
          <w:tcPr>
            <w:tcW w:w="0" w:type="auto"/>
          </w:tcPr>
          <w:p w14:paraId="016C8F79"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Workforce, regional, or labor-impact note</w:t>
            </w:r>
          </w:p>
        </w:tc>
        <w:tc>
          <w:tcPr>
            <w:cnfStyle w:val="000010000000" w:firstRow="0" w:lastRow="0" w:firstColumn="0" w:lastColumn="0" w:oddVBand="1" w:evenVBand="0" w:oddHBand="0" w:evenHBand="0" w:firstRowFirstColumn="0" w:firstRowLastColumn="0" w:lastRowFirstColumn="0" w:lastRowLastColumn="0"/>
            <w:tcW w:w="0" w:type="auto"/>
          </w:tcPr>
          <w:p w14:paraId="3CC8D71F"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67CB1052"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6F2DFD0F" w14:textId="77777777" w:rsidR="001E696D" w:rsidRPr="00977AFB" w:rsidRDefault="001E696D" w:rsidP="00072988">
            <w:pPr>
              <w:pStyle w:val="Compact"/>
              <w:jc w:val="both"/>
              <w:rPr>
                <w:sz w:val="16"/>
                <w:szCs w:val="16"/>
              </w:rPr>
            </w:pPr>
            <w:r w:rsidRPr="00977AFB">
              <w:rPr>
                <w:sz w:val="16"/>
                <w:szCs w:val="16"/>
              </w:rPr>
              <w:t>MRV</w:t>
            </w:r>
          </w:p>
        </w:tc>
        <w:tc>
          <w:tcPr>
            <w:tcW w:w="0" w:type="auto"/>
          </w:tcPr>
          <w:p w14:paraId="525211B9" w14:textId="77777777" w:rsidR="001E696D" w:rsidRPr="00977AFB" w:rsidRDefault="001E696D" w:rsidP="00072988">
            <w:pPr>
              <w:pStyle w:val="Compact"/>
              <w:jc w:val="both"/>
              <w:cnfStyle w:val="000000000000" w:firstRow="0" w:lastRow="0" w:firstColumn="0" w:lastColumn="0" w:oddVBand="0" w:evenVBand="0" w:oddHBand="0" w:evenHBand="0" w:firstRowFirstColumn="0" w:firstRowLastColumn="0" w:lastRowFirstColumn="0" w:lastRowLastColumn="0"/>
              <w:rPr>
                <w:sz w:val="16"/>
                <w:szCs w:val="16"/>
              </w:rPr>
            </w:pPr>
            <w:r w:rsidRPr="00977AFB">
              <w:rPr>
                <w:sz w:val="16"/>
                <w:szCs w:val="16"/>
              </w:rPr>
              <w:t>Baseline data available, method proposed, metering plan, verification path</w:t>
            </w:r>
          </w:p>
        </w:tc>
        <w:tc>
          <w:tcPr>
            <w:cnfStyle w:val="000010000000" w:firstRow="0" w:lastRow="0" w:firstColumn="0" w:lastColumn="0" w:oddVBand="1" w:evenVBand="0" w:oddHBand="0" w:evenHBand="0" w:firstRowFirstColumn="0" w:firstRowLastColumn="0" w:lastRowFirstColumn="0" w:lastRowLastColumn="0"/>
            <w:tcW w:w="0" w:type="auto"/>
          </w:tcPr>
          <w:p w14:paraId="317EC7FD"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533C4432" w14:textId="77777777" w:rsidTr="2BF627A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43E0AB4" w14:textId="77777777" w:rsidR="001E696D" w:rsidRPr="00977AFB" w:rsidRDefault="001E696D" w:rsidP="00072988">
            <w:pPr>
              <w:pStyle w:val="Compact"/>
              <w:jc w:val="both"/>
              <w:rPr>
                <w:sz w:val="16"/>
                <w:szCs w:val="16"/>
              </w:rPr>
            </w:pPr>
            <w:r w:rsidRPr="00977AFB">
              <w:rPr>
                <w:sz w:val="16"/>
                <w:szCs w:val="16"/>
              </w:rPr>
              <w:lastRenderedPageBreak/>
              <w:t>Risks</w:t>
            </w:r>
          </w:p>
        </w:tc>
        <w:tc>
          <w:tcPr>
            <w:tcW w:w="0" w:type="auto"/>
          </w:tcPr>
          <w:p w14:paraId="0B2D9155" w14:textId="77777777" w:rsidR="001E696D" w:rsidRPr="00977AFB" w:rsidRDefault="001E696D" w:rsidP="00072988">
            <w:pPr>
              <w:pStyle w:val="Compact"/>
              <w:jc w:val="both"/>
              <w:cnfStyle w:val="000000100000" w:firstRow="0" w:lastRow="0" w:firstColumn="0" w:lastColumn="0" w:oddVBand="0" w:evenVBand="0" w:oddHBand="1" w:evenHBand="0" w:firstRowFirstColumn="0" w:firstRowLastColumn="0" w:lastRowFirstColumn="0" w:lastRowLastColumn="0"/>
              <w:rPr>
                <w:sz w:val="16"/>
                <w:szCs w:val="16"/>
              </w:rPr>
            </w:pPr>
            <w:r w:rsidRPr="00977AFB">
              <w:rPr>
                <w:sz w:val="16"/>
                <w:szCs w:val="16"/>
              </w:rPr>
              <w:t>Top five risks and proposed mitigations</w:t>
            </w:r>
          </w:p>
        </w:tc>
        <w:tc>
          <w:tcPr>
            <w:cnfStyle w:val="000010000000" w:firstRow="0" w:lastRow="0" w:firstColumn="0" w:lastColumn="0" w:oddVBand="1" w:evenVBand="0" w:oddHBand="0" w:evenHBand="0" w:firstRowFirstColumn="0" w:firstRowLastColumn="0" w:lastRowFirstColumn="0" w:lastRowLastColumn="0"/>
            <w:tcW w:w="0" w:type="auto"/>
          </w:tcPr>
          <w:p w14:paraId="6E2D199B" w14:textId="77777777" w:rsidR="001E696D" w:rsidRPr="00977AFB" w:rsidRDefault="001E696D" w:rsidP="00072988">
            <w:pPr>
              <w:pStyle w:val="Compact"/>
              <w:jc w:val="both"/>
              <w:rPr>
                <w:sz w:val="16"/>
                <w:szCs w:val="16"/>
              </w:rPr>
            </w:pPr>
            <w:r w:rsidRPr="00977AFB">
              <w:rPr>
                <w:sz w:val="16"/>
                <w:szCs w:val="16"/>
              </w:rPr>
              <w:t>Yes</w:t>
            </w:r>
          </w:p>
        </w:tc>
      </w:tr>
      <w:tr w:rsidR="001E696D" w:rsidRPr="00977AFB" w14:paraId="698FE4ED" w14:textId="77777777" w:rsidTr="2BF627A0">
        <w:tc>
          <w:tcPr>
            <w:cnfStyle w:val="000010000000" w:firstRow="0" w:lastRow="0" w:firstColumn="0" w:lastColumn="0" w:oddVBand="1" w:evenVBand="0" w:oddHBand="0" w:evenHBand="0" w:firstRowFirstColumn="0" w:firstRowLastColumn="0" w:lastRowFirstColumn="0" w:lastRowLastColumn="0"/>
            <w:tcW w:w="0" w:type="auto"/>
          </w:tcPr>
          <w:p w14:paraId="4A1119CA" w14:textId="77777777" w:rsidR="001E696D" w:rsidRPr="00977AFB" w:rsidRDefault="001E696D" w:rsidP="00072988">
            <w:pPr>
              <w:pStyle w:val="Compact"/>
              <w:jc w:val="both"/>
              <w:rPr>
                <w:sz w:val="16"/>
                <w:szCs w:val="16"/>
              </w:rPr>
            </w:pPr>
            <w:r w:rsidRPr="00977AFB">
              <w:rPr>
                <w:sz w:val="16"/>
                <w:szCs w:val="16"/>
              </w:rPr>
              <w:t>Next steps</w:t>
            </w:r>
          </w:p>
        </w:tc>
        <w:tc>
          <w:tcPr>
            <w:tcW w:w="0" w:type="auto"/>
          </w:tcPr>
          <w:p w14:paraId="0D173C3E" w14:textId="77777777" w:rsidR="001E696D" w:rsidRPr="00977AFB" w:rsidRDefault="001E696D" w:rsidP="2BF627A0">
            <w:pPr>
              <w:pStyle w:val="Compact"/>
              <w:jc w:val="both"/>
              <w:cnfStyle w:val="000000000000" w:firstRow="0" w:lastRow="0" w:firstColumn="0" w:lastColumn="0" w:oddVBand="0" w:evenVBand="0" w:oddHBand="0" w:evenHBand="0" w:firstRowFirstColumn="0" w:firstRowLastColumn="0" w:lastRowFirstColumn="0" w:lastRowLastColumn="0"/>
              <w:rPr>
                <w:sz w:val="16"/>
                <w:szCs w:val="16"/>
                <w:lang w:val="en-US"/>
              </w:rPr>
            </w:pPr>
            <w:r w:rsidRPr="2BF627A0">
              <w:rPr>
                <w:sz w:val="16"/>
                <w:szCs w:val="16"/>
                <w:lang w:val="en-US"/>
              </w:rPr>
              <w:t>Preparation actions required, owner, indicative timeline</w:t>
            </w:r>
          </w:p>
        </w:tc>
        <w:tc>
          <w:tcPr>
            <w:cnfStyle w:val="000010000000" w:firstRow="0" w:lastRow="0" w:firstColumn="0" w:lastColumn="0" w:oddVBand="1" w:evenVBand="0" w:oddHBand="0" w:evenHBand="0" w:firstRowFirstColumn="0" w:firstRowLastColumn="0" w:lastRowFirstColumn="0" w:lastRowLastColumn="0"/>
            <w:tcW w:w="0" w:type="auto"/>
          </w:tcPr>
          <w:p w14:paraId="4F6ED28A" w14:textId="77777777" w:rsidR="001E696D" w:rsidRPr="00977AFB" w:rsidRDefault="001E696D" w:rsidP="00072988">
            <w:pPr>
              <w:pStyle w:val="Compact"/>
              <w:jc w:val="both"/>
              <w:rPr>
                <w:sz w:val="16"/>
                <w:szCs w:val="16"/>
              </w:rPr>
            </w:pPr>
            <w:r w:rsidRPr="00977AFB">
              <w:rPr>
                <w:sz w:val="16"/>
                <w:szCs w:val="16"/>
              </w:rPr>
              <w:t>Yes</w:t>
            </w:r>
          </w:p>
        </w:tc>
      </w:tr>
    </w:tbl>
    <w:p w14:paraId="504E4E69" w14:textId="77777777" w:rsidR="001E696D" w:rsidRDefault="001E696D" w:rsidP="00072988">
      <w:pPr>
        <w:pStyle w:val="BodyText"/>
        <w:jc w:val="both"/>
      </w:pPr>
      <w:r w:rsidRPr="2BF627A0">
        <w:rPr>
          <w:lang w:val="en-US"/>
        </w:rPr>
        <w:t>The template should be accompanied by a short narrative note, ideally no more than three pages, explaining the project rationale, the barrier being addressed, why concessionality is needed, and what evidence exists for sponsor readiness. No project should enter the active shortlist without a complete PIN. If core fields are missing, the concept should be routed to TA first rather than advanced as if it were investment-ready.</w:t>
      </w:r>
      <w:bookmarkEnd w:id="1"/>
      <w:bookmarkEnd w:id="2"/>
      <w:bookmarkEnd w:id="3"/>
      <w:bookmarkEnd w:id="4"/>
      <w:bookmarkEnd w:id="6"/>
    </w:p>
    <w:sectPr w:rsidR="001E696D">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3BF98" w14:textId="77777777" w:rsidR="00F13ABB" w:rsidRDefault="00F13ABB" w:rsidP="009524C6">
      <w:pPr>
        <w:spacing w:after="0" w:line="240" w:lineRule="auto"/>
      </w:pPr>
      <w:r>
        <w:separator/>
      </w:r>
    </w:p>
  </w:endnote>
  <w:endnote w:type="continuationSeparator" w:id="0">
    <w:p w14:paraId="7C36AC7D" w14:textId="77777777" w:rsidR="00F13ABB" w:rsidRDefault="00F13ABB" w:rsidP="00952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DE8A" w14:textId="77777777" w:rsidR="009524C6" w:rsidRDefault="009524C6">
    <w:pPr>
      <w:pStyle w:val="Footer"/>
    </w:pPr>
    <w:r>
      <w:rPr>
        <w:noProof/>
      </w:rPr>
      <mc:AlternateContent>
        <mc:Choice Requires="wps">
          <w:drawing>
            <wp:anchor distT="0" distB="0" distL="0" distR="0" simplePos="0" relativeHeight="251658241" behindDoc="0" locked="0" layoutInCell="1" allowOverlap="1" wp14:anchorId="6A819B64" wp14:editId="09334790">
              <wp:simplePos x="635" y="635"/>
              <wp:positionH relativeFrom="page">
                <wp:align>right</wp:align>
              </wp:positionH>
              <wp:positionV relativeFrom="page">
                <wp:align>bottom</wp:align>
              </wp:positionV>
              <wp:extent cx="1170305" cy="370205"/>
              <wp:effectExtent l="0" t="0" r="0" b="0"/>
              <wp:wrapNone/>
              <wp:docPr id="1004148373"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71358AA3" w14:textId="77777777" w:rsidR="009524C6" w:rsidRPr="009524C6" w:rsidRDefault="009524C6" w:rsidP="009524C6">
                          <w:pPr>
                            <w:spacing w:after="0"/>
                            <w:rPr>
                              <w:rFonts w:ascii="Aptos" w:eastAsia="Aptos" w:hAnsi="Aptos" w:cs="Aptos"/>
                              <w:noProof/>
                              <w:color w:val="000000"/>
                              <w:sz w:val="20"/>
                              <w:szCs w:val="20"/>
                            </w:rPr>
                          </w:pPr>
                          <w:r w:rsidRPr="009524C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A819B64" id="_x0000_t202" coordsize="21600,21600" o:spt="202" path="m,l,21600r21600,l21600,xe">
              <v:stroke joinstyle="miter"/>
              <v:path gradientshapeok="t" o:connecttype="rect"/>
            </v:shapetype>
            <v:shape id="Text Box 2" o:spid="_x0000_s1030" type="#_x0000_t202" alt="Official Use Only" style="position:absolute;margin-left:40.95pt;margin-top:0;width:92.15pt;height:29.1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" filled="f" stroked="f">
              <v:textbox style="mso-fit-shape-to-text:t" inset="0,0,20pt,15pt">
                <w:txbxContent>
                  <w:p w14:paraId="71358AA3" w14:textId="77777777" w:rsidR="009524C6" w:rsidRPr="009524C6" w:rsidRDefault="009524C6" w:rsidP="009524C6">
                    <w:pPr>
                      <w:spacing w:after="0"/>
                      <w:rPr>
                        <w:rFonts w:ascii="Aptos" w:eastAsia="Aptos" w:hAnsi="Aptos" w:cs="Aptos"/>
                        <w:noProof/>
                        <w:color w:val="000000"/>
                        <w:sz w:val="20"/>
                        <w:szCs w:val="20"/>
                      </w:rPr>
                    </w:pPr>
                    <w:r w:rsidRPr="009524C6">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F14C" w14:textId="77777777" w:rsidR="009524C6" w:rsidRDefault="009524C6">
    <w:pPr>
      <w:pStyle w:val="Footer"/>
    </w:pPr>
    <w:r>
      <w:rPr>
        <w:noProof/>
      </w:rPr>
      <mc:AlternateContent>
        <mc:Choice Requires="wps">
          <w:drawing>
            <wp:anchor distT="0" distB="0" distL="0" distR="0" simplePos="0" relativeHeight="251658242" behindDoc="0" locked="0" layoutInCell="1" allowOverlap="1" wp14:anchorId="0F4D18F0" wp14:editId="1BC25674">
              <wp:simplePos x="914400" y="9418955"/>
              <wp:positionH relativeFrom="page">
                <wp:align>right</wp:align>
              </wp:positionH>
              <wp:positionV relativeFrom="page">
                <wp:align>bottom</wp:align>
              </wp:positionV>
              <wp:extent cx="1170305" cy="370205"/>
              <wp:effectExtent l="0" t="0" r="0" b="0"/>
              <wp:wrapNone/>
              <wp:docPr id="399929892"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159A0E2" w14:textId="77777777" w:rsidR="009524C6" w:rsidRPr="009524C6" w:rsidRDefault="009524C6" w:rsidP="009524C6">
                          <w:pPr>
                            <w:spacing w:after="0"/>
                            <w:rPr>
                              <w:rFonts w:ascii="Aptos" w:eastAsia="Aptos" w:hAnsi="Aptos" w:cs="Aptos"/>
                              <w:noProof/>
                              <w:color w:val="000000"/>
                              <w:sz w:val="20"/>
                              <w:szCs w:val="20"/>
                            </w:rPr>
                          </w:pPr>
                          <w:r w:rsidRPr="009524C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F4D18F0" id="_x0000_t202" coordsize="21600,21600" o:spt="202" path="m,l,21600r21600,l21600,xe">
              <v:stroke joinstyle="miter"/>
              <v:path gradientshapeok="t" o:connecttype="rect"/>
            </v:shapetype>
            <v:shape id="Text Box 3" o:spid="_x0000_s1031" type="#_x0000_t202" alt="Official Use Only" style="position:absolute;margin-left:40.95pt;margin-top:0;width:92.15pt;height:29.1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" filled="f" stroked="f">
              <v:textbox style="mso-fit-shape-to-text:t" inset="0,0,20pt,15pt">
                <w:txbxContent>
                  <w:p w14:paraId="6159A0E2" w14:textId="77777777" w:rsidR="009524C6" w:rsidRPr="009524C6" w:rsidRDefault="009524C6" w:rsidP="009524C6">
                    <w:pPr>
                      <w:spacing w:after="0"/>
                      <w:rPr>
                        <w:rFonts w:ascii="Aptos" w:eastAsia="Aptos" w:hAnsi="Aptos" w:cs="Aptos"/>
                        <w:noProof/>
                        <w:color w:val="000000"/>
                        <w:sz w:val="20"/>
                        <w:szCs w:val="20"/>
                      </w:rPr>
                    </w:pPr>
                    <w:r w:rsidRPr="009524C6">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678F4" w14:textId="77777777" w:rsidR="009524C6" w:rsidRDefault="009524C6">
    <w:pPr>
      <w:pStyle w:val="Footer"/>
    </w:pPr>
    <w:r>
      <w:rPr>
        <w:noProof/>
      </w:rPr>
      <mc:AlternateContent>
        <mc:Choice Requires="wps">
          <w:drawing>
            <wp:anchor distT="0" distB="0" distL="0" distR="0" simplePos="0" relativeHeight="251658240" behindDoc="0" locked="0" layoutInCell="1" allowOverlap="1" wp14:anchorId="097B5A83" wp14:editId="5C4C1A2C">
              <wp:simplePos x="635" y="635"/>
              <wp:positionH relativeFrom="page">
                <wp:align>right</wp:align>
              </wp:positionH>
              <wp:positionV relativeFrom="page">
                <wp:align>bottom</wp:align>
              </wp:positionV>
              <wp:extent cx="1170305" cy="370205"/>
              <wp:effectExtent l="0" t="0" r="0" b="0"/>
              <wp:wrapNone/>
              <wp:docPr id="1719401225"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E94E7DE" w14:textId="77777777" w:rsidR="009524C6" w:rsidRPr="009524C6" w:rsidRDefault="009524C6" w:rsidP="009524C6">
                          <w:pPr>
                            <w:spacing w:after="0"/>
                            <w:rPr>
                              <w:rFonts w:ascii="Aptos" w:eastAsia="Aptos" w:hAnsi="Aptos" w:cs="Aptos"/>
                              <w:noProof/>
                              <w:color w:val="000000"/>
                              <w:sz w:val="20"/>
                              <w:szCs w:val="20"/>
                            </w:rPr>
                          </w:pPr>
                          <w:r w:rsidRPr="009524C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97B5A83" id="_x0000_t202" coordsize="21600,21600" o:spt="202" path="m,l,21600r21600,l21600,xe">
              <v:stroke joinstyle="miter"/>
              <v:path gradientshapeok="t" o:connecttype="rect"/>
            </v:shapetype>
            <v:shape id="Text Box 1" o:spid="_x0000_s1032" type="#_x0000_t202" alt="Official Use Only" style="position:absolute;margin-left:40.95pt;margin-top:0;width:92.1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" filled="f" stroked="f">
              <v:textbox style="mso-fit-shape-to-text:t" inset="0,0,20pt,15pt">
                <w:txbxContent>
                  <w:p w14:paraId="6E94E7DE" w14:textId="77777777" w:rsidR="009524C6" w:rsidRPr="009524C6" w:rsidRDefault="009524C6" w:rsidP="009524C6">
                    <w:pPr>
                      <w:spacing w:after="0"/>
                      <w:rPr>
                        <w:rFonts w:ascii="Aptos" w:eastAsia="Aptos" w:hAnsi="Aptos" w:cs="Aptos"/>
                        <w:noProof/>
                        <w:color w:val="000000"/>
                        <w:sz w:val="20"/>
                        <w:szCs w:val="20"/>
                      </w:rPr>
                    </w:pPr>
                    <w:r w:rsidRPr="009524C6">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CE521" w14:textId="77777777" w:rsidR="00F13ABB" w:rsidRDefault="00F13ABB" w:rsidP="009524C6">
      <w:pPr>
        <w:spacing w:after="0" w:line="240" w:lineRule="auto"/>
      </w:pPr>
      <w:r>
        <w:separator/>
      </w:r>
    </w:p>
  </w:footnote>
  <w:footnote w:type="continuationSeparator" w:id="0">
    <w:p w14:paraId="2BDCC03B" w14:textId="77777777" w:rsidR="00F13ABB" w:rsidRDefault="00F13ABB" w:rsidP="00952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FFFFFFF"/>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20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373576884">
    <w:abstractNumId w:val="0"/>
  </w:num>
  <w:num w:numId="2" w16cid:durableId="21402211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35470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36979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83088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59863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4C6"/>
    <w:rsid w:val="0001191F"/>
    <w:rsid w:val="00020EE5"/>
    <w:rsid w:val="0002699D"/>
    <w:rsid w:val="0003438C"/>
    <w:rsid w:val="00050B9C"/>
    <w:rsid w:val="00060108"/>
    <w:rsid w:val="00072988"/>
    <w:rsid w:val="000736BE"/>
    <w:rsid w:val="000760D1"/>
    <w:rsid w:val="0009053E"/>
    <w:rsid w:val="00094813"/>
    <w:rsid w:val="0009658D"/>
    <w:rsid w:val="000A35FC"/>
    <w:rsid w:val="000A4222"/>
    <w:rsid w:val="000B269C"/>
    <w:rsid w:val="000C4ABD"/>
    <w:rsid w:val="000D14F3"/>
    <w:rsid w:val="000D2142"/>
    <w:rsid w:val="000E776C"/>
    <w:rsid w:val="001034B8"/>
    <w:rsid w:val="001040AD"/>
    <w:rsid w:val="00104FD6"/>
    <w:rsid w:val="00127A99"/>
    <w:rsid w:val="001339F7"/>
    <w:rsid w:val="0013405B"/>
    <w:rsid w:val="00191E66"/>
    <w:rsid w:val="001C15F9"/>
    <w:rsid w:val="001C507C"/>
    <w:rsid w:val="001E696D"/>
    <w:rsid w:val="001F684C"/>
    <w:rsid w:val="002026AE"/>
    <w:rsid w:val="00204A1A"/>
    <w:rsid w:val="00225535"/>
    <w:rsid w:val="0025729A"/>
    <w:rsid w:val="00261647"/>
    <w:rsid w:val="0027731B"/>
    <w:rsid w:val="002775DA"/>
    <w:rsid w:val="002801EB"/>
    <w:rsid w:val="002808E3"/>
    <w:rsid w:val="002941F0"/>
    <w:rsid w:val="0029538D"/>
    <w:rsid w:val="002A523C"/>
    <w:rsid w:val="002B4AC7"/>
    <w:rsid w:val="002D2796"/>
    <w:rsid w:val="002F7E5C"/>
    <w:rsid w:val="00320793"/>
    <w:rsid w:val="00321BC0"/>
    <w:rsid w:val="003224B6"/>
    <w:rsid w:val="00326352"/>
    <w:rsid w:val="003309E7"/>
    <w:rsid w:val="00364849"/>
    <w:rsid w:val="003826B0"/>
    <w:rsid w:val="003904C2"/>
    <w:rsid w:val="00393136"/>
    <w:rsid w:val="003B12D4"/>
    <w:rsid w:val="003C067D"/>
    <w:rsid w:val="003C0882"/>
    <w:rsid w:val="003C5443"/>
    <w:rsid w:val="003C7BA1"/>
    <w:rsid w:val="003D0C02"/>
    <w:rsid w:val="003E1E73"/>
    <w:rsid w:val="003F0E5C"/>
    <w:rsid w:val="003F34D4"/>
    <w:rsid w:val="0040019C"/>
    <w:rsid w:val="00405B2D"/>
    <w:rsid w:val="00417554"/>
    <w:rsid w:val="00417FB0"/>
    <w:rsid w:val="00442134"/>
    <w:rsid w:val="00452CA3"/>
    <w:rsid w:val="00460DE0"/>
    <w:rsid w:val="004640FA"/>
    <w:rsid w:val="00471539"/>
    <w:rsid w:val="004850C9"/>
    <w:rsid w:val="004D5C28"/>
    <w:rsid w:val="00501C91"/>
    <w:rsid w:val="00504098"/>
    <w:rsid w:val="00504CB6"/>
    <w:rsid w:val="00507A96"/>
    <w:rsid w:val="00507C57"/>
    <w:rsid w:val="00513A2B"/>
    <w:rsid w:val="005370D3"/>
    <w:rsid w:val="00561ADA"/>
    <w:rsid w:val="005769FC"/>
    <w:rsid w:val="0059169C"/>
    <w:rsid w:val="005B0363"/>
    <w:rsid w:val="005B152A"/>
    <w:rsid w:val="005B4561"/>
    <w:rsid w:val="005C14D0"/>
    <w:rsid w:val="005D0FEB"/>
    <w:rsid w:val="005D6A31"/>
    <w:rsid w:val="005E379F"/>
    <w:rsid w:val="005F330C"/>
    <w:rsid w:val="00602979"/>
    <w:rsid w:val="00604B98"/>
    <w:rsid w:val="00604CEC"/>
    <w:rsid w:val="006105E5"/>
    <w:rsid w:val="0061427F"/>
    <w:rsid w:val="00642B07"/>
    <w:rsid w:val="00654CC8"/>
    <w:rsid w:val="00676B40"/>
    <w:rsid w:val="00677D90"/>
    <w:rsid w:val="006A1D89"/>
    <w:rsid w:val="006B12D0"/>
    <w:rsid w:val="006B7B99"/>
    <w:rsid w:val="006C44A4"/>
    <w:rsid w:val="006D15DA"/>
    <w:rsid w:val="006D2B5D"/>
    <w:rsid w:val="006D799E"/>
    <w:rsid w:val="006F0465"/>
    <w:rsid w:val="007127E5"/>
    <w:rsid w:val="00713F5E"/>
    <w:rsid w:val="00721BF9"/>
    <w:rsid w:val="0072517E"/>
    <w:rsid w:val="00761E77"/>
    <w:rsid w:val="00766CE5"/>
    <w:rsid w:val="00766DE0"/>
    <w:rsid w:val="00773B1A"/>
    <w:rsid w:val="00794BD9"/>
    <w:rsid w:val="0079634A"/>
    <w:rsid w:val="007A20A8"/>
    <w:rsid w:val="007A6935"/>
    <w:rsid w:val="007B002A"/>
    <w:rsid w:val="007B3500"/>
    <w:rsid w:val="007B4B19"/>
    <w:rsid w:val="007C03F5"/>
    <w:rsid w:val="007E0305"/>
    <w:rsid w:val="007F150B"/>
    <w:rsid w:val="007F2930"/>
    <w:rsid w:val="007F3AE8"/>
    <w:rsid w:val="00815A23"/>
    <w:rsid w:val="0083127F"/>
    <w:rsid w:val="00832794"/>
    <w:rsid w:val="00837EC3"/>
    <w:rsid w:val="008440A8"/>
    <w:rsid w:val="008448E3"/>
    <w:rsid w:val="008656EC"/>
    <w:rsid w:val="008671F5"/>
    <w:rsid w:val="00876F61"/>
    <w:rsid w:val="00877B68"/>
    <w:rsid w:val="00894CD1"/>
    <w:rsid w:val="008A2A46"/>
    <w:rsid w:val="008B235D"/>
    <w:rsid w:val="008D114C"/>
    <w:rsid w:val="008D7116"/>
    <w:rsid w:val="008E265E"/>
    <w:rsid w:val="00914A4F"/>
    <w:rsid w:val="0092332E"/>
    <w:rsid w:val="009524C6"/>
    <w:rsid w:val="00960547"/>
    <w:rsid w:val="00972A93"/>
    <w:rsid w:val="00977AFB"/>
    <w:rsid w:val="00983EC9"/>
    <w:rsid w:val="00990194"/>
    <w:rsid w:val="00993906"/>
    <w:rsid w:val="00997D76"/>
    <w:rsid w:val="009B1AD8"/>
    <w:rsid w:val="009B3F8D"/>
    <w:rsid w:val="009C71E9"/>
    <w:rsid w:val="009D07FA"/>
    <w:rsid w:val="009F6133"/>
    <w:rsid w:val="00A12E0D"/>
    <w:rsid w:val="00A163B9"/>
    <w:rsid w:val="00A175AF"/>
    <w:rsid w:val="00A227EB"/>
    <w:rsid w:val="00A323D1"/>
    <w:rsid w:val="00A417C0"/>
    <w:rsid w:val="00A56472"/>
    <w:rsid w:val="00A91E6F"/>
    <w:rsid w:val="00A95D70"/>
    <w:rsid w:val="00AD5380"/>
    <w:rsid w:val="00AD67EA"/>
    <w:rsid w:val="00B12105"/>
    <w:rsid w:val="00B30FA7"/>
    <w:rsid w:val="00B50D4B"/>
    <w:rsid w:val="00B718AD"/>
    <w:rsid w:val="00B74F61"/>
    <w:rsid w:val="00B83470"/>
    <w:rsid w:val="00B8495C"/>
    <w:rsid w:val="00B85383"/>
    <w:rsid w:val="00B92483"/>
    <w:rsid w:val="00B937DF"/>
    <w:rsid w:val="00BA4781"/>
    <w:rsid w:val="00BA68DD"/>
    <w:rsid w:val="00BB3F69"/>
    <w:rsid w:val="00BB58EE"/>
    <w:rsid w:val="00BB6057"/>
    <w:rsid w:val="00BD5C7F"/>
    <w:rsid w:val="00BD70AE"/>
    <w:rsid w:val="00BE06C8"/>
    <w:rsid w:val="00C04FEE"/>
    <w:rsid w:val="00C103E5"/>
    <w:rsid w:val="00C36A28"/>
    <w:rsid w:val="00C52378"/>
    <w:rsid w:val="00C65D54"/>
    <w:rsid w:val="00C65DD8"/>
    <w:rsid w:val="00CB6E92"/>
    <w:rsid w:val="00CC5923"/>
    <w:rsid w:val="00CD67B9"/>
    <w:rsid w:val="00CE5489"/>
    <w:rsid w:val="00CE5C12"/>
    <w:rsid w:val="00CF402A"/>
    <w:rsid w:val="00D21206"/>
    <w:rsid w:val="00D26E85"/>
    <w:rsid w:val="00D27481"/>
    <w:rsid w:val="00D3014A"/>
    <w:rsid w:val="00D31580"/>
    <w:rsid w:val="00D435CA"/>
    <w:rsid w:val="00D5733E"/>
    <w:rsid w:val="00D6201D"/>
    <w:rsid w:val="00D8336A"/>
    <w:rsid w:val="00DA7198"/>
    <w:rsid w:val="00DB4FC0"/>
    <w:rsid w:val="00DB67A4"/>
    <w:rsid w:val="00DB698B"/>
    <w:rsid w:val="00DC0418"/>
    <w:rsid w:val="00DC0FC8"/>
    <w:rsid w:val="00DC1851"/>
    <w:rsid w:val="00DC292C"/>
    <w:rsid w:val="00DD2C78"/>
    <w:rsid w:val="00DE18CF"/>
    <w:rsid w:val="00DF14D1"/>
    <w:rsid w:val="00DF3DA5"/>
    <w:rsid w:val="00E153A7"/>
    <w:rsid w:val="00E377CB"/>
    <w:rsid w:val="00E42013"/>
    <w:rsid w:val="00E453D3"/>
    <w:rsid w:val="00E63DA0"/>
    <w:rsid w:val="00E6641E"/>
    <w:rsid w:val="00E75C76"/>
    <w:rsid w:val="00EA4C0A"/>
    <w:rsid w:val="00EA5CC8"/>
    <w:rsid w:val="00EA7E30"/>
    <w:rsid w:val="00EB7660"/>
    <w:rsid w:val="00EC2C11"/>
    <w:rsid w:val="00F0281C"/>
    <w:rsid w:val="00F03DCE"/>
    <w:rsid w:val="00F06F92"/>
    <w:rsid w:val="00F13ABB"/>
    <w:rsid w:val="00F16D9C"/>
    <w:rsid w:val="00F17A18"/>
    <w:rsid w:val="00F20DC4"/>
    <w:rsid w:val="00F20EBB"/>
    <w:rsid w:val="00F218FB"/>
    <w:rsid w:val="00F2554C"/>
    <w:rsid w:val="00F43C43"/>
    <w:rsid w:val="00F67164"/>
    <w:rsid w:val="00FB2ACD"/>
    <w:rsid w:val="00FD3222"/>
    <w:rsid w:val="00FD62BE"/>
    <w:rsid w:val="00FE1BB0"/>
    <w:rsid w:val="2BF62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2CBB5"/>
  <w15:chartTrackingRefBased/>
  <w15:docId w15:val="{458B0B1D-B2EB-6D4B-9A06-762B65E40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2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2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4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4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4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4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4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4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4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4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24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4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4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4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4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4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4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4C6"/>
    <w:rPr>
      <w:rFonts w:eastAsiaTheme="majorEastAsia" w:cstheme="majorBidi"/>
      <w:color w:val="272727" w:themeColor="text1" w:themeTint="D8"/>
    </w:rPr>
  </w:style>
  <w:style w:type="paragraph" w:styleId="Title">
    <w:name w:val="Title"/>
    <w:basedOn w:val="Normal"/>
    <w:next w:val="Normal"/>
    <w:link w:val="TitleChar"/>
    <w:uiPriority w:val="10"/>
    <w:qFormat/>
    <w:rsid w:val="00952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4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4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4C6"/>
    <w:pPr>
      <w:spacing w:before="160"/>
      <w:jc w:val="center"/>
    </w:pPr>
    <w:rPr>
      <w:i/>
      <w:iCs/>
      <w:color w:val="404040" w:themeColor="text1" w:themeTint="BF"/>
    </w:rPr>
  </w:style>
  <w:style w:type="character" w:customStyle="1" w:styleId="QuoteChar">
    <w:name w:val="Quote Char"/>
    <w:basedOn w:val="DefaultParagraphFont"/>
    <w:link w:val="Quote"/>
    <w:uiPriority w:val="29"/>
    <w:rsid w:val="009524C6"/>
    <w:rPr>
      <w:i/>
      <w:iCs/>
      <w:color w:val="404040" w:themeColor="text1" w:themeTint="BF"/>
    </w:rPr>
  </w:style>
  <w:style w:type="paragraph" w:styleId="ListParagraph">
    <w:name w:val="List Paragraph"/>
    <w:basedOn w:val="Normal"/>
    <w:uiPriority w:val="34"/>
    <w:qFormat/>
    <w:rsid w:val="009524C6"/>
    <w:pPr>
      <w:ind w:left="720"/>
      <w:contextualSpacing/>
    </w:pPr>
  </w:style>
  <w:style w:type="character" w:styleId="IntenseEmphasis">
    <w:name w:val="Intense Emphasis"/>
    <w:basedOn w:val="DefaultParagraphFont"/>
    <w:uiPriority w:val="21"/>
    <w:qFormat/>
    <w:rsid w:val="009524C6"/>
    <w:rPr>
      <w:i/>
      <w:iCs/>
      <w:color w:val="0F4761" w:themeColor="accent1" w:themeShade="BF"/>
    </w:rPr>
  </w:style>
  <w:style w:type="paragraph" w:styleId="IntenseQuote">
    <w:name w:val="Intense Quote"/>
    <w:basedOn w:val="Normal"/>
    <w:next w:val="Normal"/>
    <w:link w:val="IntenseQuoteChar"/>
    <w:uiPriority w:val="30"/>
    <w:qFormat/>
    <w:rsid w:val="00952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4C6"/>
    <w:rPr>
      <w:i/>
      <w:iCs/>
      <w:color w:val="0F4761" w:themeColor="accent1" w:themeShade="BF"/>
    </w:rPr>
  </w:style>
  <w:style w:type="character" w:styleId="IntenseReference">
    <w:name w:val="Intense Reference"/>
    <w:basedOn w:val="DefaultParagraphFont"/>
    <w:uiPriority w:val="32"/>
    <w:qFormat/>
    <w:rsid w:val="009524C6"/>
    <w:rPr>
      <w:b/>
      <w:bCs/>
      <w:smallCaps/>
      <w:color w:val="0F4761" w:themeColor="accent1" w:themeShade="BF"/>
      <w:spacing w:val="5"/>
    </w:rPr>
  </w:style>
  <w:style w:type="paragraph" w:styleId="Footer">
    <w:name w:val="footer"/>
    <w:basedOn w:val="Normal"/>
    <w:link w:val="FooterChar"/>
    <w:uiPriority w:val="99"/>
    <w:unhideWhenUsed/>
    <w:rsid w:val="00952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4C6"/>
  </w:style>
  <w:style w:type="paragraph" w:styleId="FootnoteText">
    <w:name w:val="footnote text"/>
    <w:basedOn w:val="Normal"/>
    <w:link w:val="FootnoteTextChar"/>
    <w:uiPriority w:val="9"/>
    <w:unhideWhenUsed/>
    <w:qFormat/>
    <w:rsid w:val="00BA68DD"/>
    <w:pPr>
      <w:spacing w:after="0" w:line="240" w:lineRule="auto"/>
    </w:pPr>
    <w:rPr>
      <w:sz w:val="20"/>
      <w:szCs w:val="20"/>
    </w:rPr>
  </w:style>
  <w:style w:type="character" w:customStyle="1" w:styleId="FootnoteTextChar">
    <w:name w:val="Footnote Text Char"/>
    <w:basedOn w:val="DefaultParagraphFont"/>
    <w:link w:val="FootnoteText"/>
    <w:uiPriority w:val="9"/>
    <w:rsid w:val="00BA68DD"/>
    <w:rPr>
      <w:sz w:val="20"/>
      <w:szCs w:val="20"/>
    </w:rPr>
  </w:style>
  <w:style w:type="character" w:styleId="FootnoteReference">
    <w:name w:val="footnote reference"/>
    <w:basedOn w:val="DefaultParagraphFont"/>
    <w:unhideWhenUsed/>
    <w:rsid w:val="00BA68DD"/>
    <w:rPr>
      <w:vertAlign w:val="superscript"/>
    </w:rPr>
  </w:style>
  <w:style w:type="character" w:styleId="Hyperlink">
    <w:name w:val="Hyperlink"/>
    <w:basedOn w:val="DefaultParagraphFont"/>
    <w:uiPriority w:val="99"/>
    <w:unhideWhenUsed/>
    <w:rsid w:val="00BA68DD"/>
    <w:rPr>
      <w:color w:val="0000FF"/>
      <w:u w:val="single"/>
    </w:rPr>
  </w:style>
  <w:style w:type="paragraph" w:styleId="BodyText">
    <w:name w:val="Body Text"/>
    <w:basedOn w:val="Normal"/>
    <w:link w:val="BodyTextChar"/>
    <w:qFormat/>
    <w:rsid w:val="00AD5380"/>
    <w:pPr>
      <w:spacing w:before="180" w:after="180" w:line="240" w:lineRule="auto"/>
    </w:pPr>
    <w:rPr>
      <w:rFonts w:eastAsiaTheme="minorHAnsi"/>
      <w:kern w:val="0"/>
      <w:lang w:val="en"/>
      <w14:ligatures w14:val="none"/>
    </w:rPr>
  </w:style>
  <w:style w:type="character" w:customStyle="1" w:styleId="BodyTextChar">
    <w:name w:val="Body Text Char"/>
    <w:basedOn w:val="DefaultParagraphFont"/>
    <w:link w:val="BodyText"/>
    <w:rsid w:val="00AD5380"/>
    <w:rPr>
      <w:rFonts w:eastAsiaTheme="minorHAnsi"/>
      <w:kern w:val="0"/>
      <w:lang w:val="en"/>
      <w14:ligatures w14:val="none"/>
    </w:rPr>
  </w:style>
  <w:style w:type="paragraph" w:customStyle="1" w:styleId="FirstParagraph">
    <w:name w:val="First Paragraph"/>
    <w:basedOn w:val="BodyText"/>
    <w:next w:val="BodyText"/>
    <w:qFormat/>
    <w:rsid w:val="00AD5380"/>
  </w:style>
  <w:style w:type="paragraph" w:customStyle="1" w:styleId="Compact">
    <w:name w:val="Compact"/>
    <w:basedOn w:val="BodyText"/>
    <w:qFormat/>
    <w:rsid w:val="00AD5380"/>
    <w:pPr>
      <w:spacing w:before="36" w:after="36"/>
    </w:pPr>
  </w:style>
  <w:style w:type="table" w:customStyle="1" w:styleId="Table">
    <w:name w:val="Table"/>
    <w:semiHidden/>
    <w:unhideWhenUsed/>
    <w:qFormat/>
    <w:rsid w:val="00AD5380"/>
    <w:pPr>
      <w:spacing w:after="200" w:line="240" w:lineRule="auto"/>
    </w:pPr>
    <w:rPr>
      <w:rFonts w:eastAsiaTheme="minorHAnsi"/>
      <w:kern w:val="0"/>
      <w:sz w:val="20"/>
      <w:szCs w:val="20"/>
      <w:lang w:val="en"/>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VerbatimChar">
    <w:name w:val="Verbatim Char"/>
    <w:basedOn w:val="DefaultParagraphFont"/>
    <w:link w:val="SourceCode"/>
    <w:rsid w:val="00AD5380"/>
    <w:rPr>
      <w:rFonts w:ascii="Consolas" w:hAnsi="Consolas"/>
      <w:sz w:val="22"/>
    </w:rPr>
  </w:style>
  <w:style w:type="paragraph" w:customStyle="1" w:styleId="SourceCode">
    <w:name w:val="Source Code"/>
    <w:basedOn w:val="Normal"/>
    <w:link w:val="VerbatimChar"/>
    <w:rsid w:val="00AD5380"/>
    <w:pPr>
      <w:wordWrap w:val="0"/>
      <w:spacing w:after="200" w:line="240" w:lineRule="auto"/>
    </w:pPr>
    <w:rPr>
      <w:rFonts w:ascii="Consolas" w:hAnsi="Consolas"/>
      <w:sz w:val="22"/>
    </w:rPr>
  </w:style>
  <w:style w:type="table" w:styleId="ListTable3-Accent1">
    <w:name w:val="List Table 3 Accent 1"/>
    <w:basedOn w:val="TableNormal"/>
    <w:uiPriority w:val="48"/>
    <w:rsid w:val="008448E3"/>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Grid">
    <w:name w:val="Table Grid"/>
    <w:basedOn w:val="TableNormal"/>
    <w:uiPriority w:val="59"/>
    <w:rsid w:val="0009658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Justified">
    <w:name w:val="Body Justified"/>
    <w:basedOn w:val="Normal"/>
    <w:rsid w:val="007C03F5"/>
    <w:pPr>
      <w:spacing w:after="120" w:line="259" w:lineRule="auto"/>
      <w:jc w:val="both"/>
    </w:pPr>
    <w:rPr>
      <w:rFonts w:ascii="Arial" w:eastAsia="Arial" w:hAnsi="Arial"/>
      <w:color w:val="242424"/>
      <w:kern w:val="0"/>
      <w:sz w:val="20"/>
      <w:szCs w:val="22"/>
      <w14:ligatures w14:val="none"/>
    </w:rPr>
  </w:style>
  <w:style w:type="paragraph" w:customStyle="1" w:styleId="SourceNote">
    <w:name w:val="Source Note"/>
    <w:basedOn w:val="Normal"/>
    <w:rsid w:val="007C03F5"/>
    <w:pPr>
      <w:spacing w:after="80" w:line="276" w:lineRule="auto"/>
    </w:pPr>
    <w:rPr>
      <w:rFonts w:ascii="Arial" w:eastAsia="Arial" w:hAnsi="Arial"/>
      <w:i/>
      <w:color w:val="5E6970"/>
      <w:kern w:val="0"/>
      <w:sz w:val="16"/>
      <w:szCs w:val="22"/>
      <w14:ligatures w14:val="none"/>
    </w:rPr>
  </w:style>
  <w:style w:type="paragraph" w:customStyle="1" w:styleId="TOCEntry">
    <w:name w:val="TOC Entry"/>
    <w:basedOn w:val="Normal"/>
    <w:rsid w:val="007C03F5"/>
    <w:pPr>
      <w:spacing w:after="60" w:line="276" w:lineRule="auto"/>
      <w:ind w:left="288"/>
    </w:pPr>
    <w:rPr>
      <w:rFonts w:ascii="Arial" w:eastAsia="Arial" w:hAnsi="Arial"/>
      <w:color w:val="242424"/>
      <w:kern w:val="0"/>
      <w:sz w:val="20"/>
      <w:szCs w:val="22"/>
      <w14:ligatures w14:val="none"/>
    </w:rPr>
  </w:style>
  <w:style w:type="paragraph" w:styleId="Header">
    <w:name w:val="header"/>
    <w:basedOn w:val="Normal"/>
    <w:link w:val="HeaderChar"/>
    <w:uiPriority w:val="99"/>
    <w:unhideWhenUsed/>
    <w:rsid w:val="00A91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E6F"/>
  </w:style>
  <w:style w:type="paragraph" w:customStyle="1" w:styleId="Author">
    <w:name w:val="Author"/>
    <w:next w:val="BodyText"/>
    <w:qFormat/>
    <w:rsid w:val="001E696D"/>
    <w:pPr>
      <w:keepNext/>
      <w:keepLines/>
      <w:spacing w:after="200" w:line="240" w:lineRule="auto"/>
      <w:jc w:val="center"/>
    </w:pPr>
    <w:rPr>
      <w:rFonts w:eastAsiaTheme="minorHAnsi"/>
      <w:kern w:val="0"/>
      <w:lang w:val="en"/>
      <w14:ligatures w14:val="none"/>
    </w:rPr>
  </w:style>
  <w:style w:type="paragraph" w:styleId="Date">
    <w:name w:val="Date"/>
    <w:next w:val="BodyText"/>
    <w:link w:val="DateChar"/>
    <w:qFormat/>
    <w:rsid w:val="001E696D"/>
    <w:pPr>
      <w:keepNext/>
      <w:keepLines/>
      <w:spacing w:after="200" w:line="240" w:lineRule="auto"/>
      <w:jc w:val="center"/>
    </w:pPr>
    <w:rPr>
      <w:rFonts w:eastAsiaTheme="minorHAnsi"/>
      <w:kern w:val="0"/>
      <w:lang w:val="en"/>
      <w14:ligatures w14:val="none"/>
    </w:rPr>
  </w:style>
  <w:style w:type="character" w:customStyle="1" w:styleId="DateChar">
    <w:name w:val="Date Char"/>
    <w:basedOn w:val="DefaultParagraphFont"/>
    <w:link w:val="Date"/>
    <w:rsid w:val="001E696D"/>
    <w:rPr>
      <w:rFonts w:eastAsiaTheme="minorHAnsi"/>
      <w:kern w:val="0"/>
      <w:lang w:val="en"/>
      <w14:ligatures w14:val="none"/>
    </w:rPr>
  </w:style>
  <w:style w:type="paragraph" w:customStyle="1" w:styleId="AbstractTitle">
    <w:name w:val="Abstract Title"/>
    <w:basedOn w:val="Normal"/>
    <w:next w:val="Abstract"/>
    <w:qFormat/>
    <w:rsid w:val="001E696D"/>
    <w:pPr>
      <w:keepNext/>
      <w:keepLines/>
      <w:spacing w:before="300" w:after="0" w:line="240" w:lineRule="auto"/>
      <w:jc w:val="center"/>
    </w:pPr>
    <w:rPr>
      <w:rFonts w:eastAsiaTheme="minorHAnsi"/>
      <w:b/>
      <w:kern w:val="0"/>
      <w:sz w:val="20"/>
      <w:szCs w:val="20"/>
      <w:lang w:val="en"/>
      <w14:ligatures w14:val="none"/>
    </w:rPr>
  </w:style>
  <w:style w:type="paragraph" w:customStyle="1" w:styleId="Abstract">
    <w:name w:val="Abstract"/>
    <w:basedOn w:val="Normal"/>
    <w:next w:val="BodyText"/>
    <w:qFormat/>
    <w:rsid w:val="001E696D"/>
    <w:pPr>
      <w:keepNext/>
      <w:keepLines/>
      <w:spacing w:before="100" w:after="300" w:line="240" w:lineRule="auto"/>
    </w:pPr>
    <w:rPr>
      <w:rFonts w:eastAsiaTheme="minorHAnsi"/>
      <w:kern w:val="0"/>
      <w:sz w:val="20"/>
      <w:szCs w:val="20"/>
      <w:lang w:val="en"/>
      <w14:ligatures w14:val="none"/>
    </w:rPr>
  </w:style>
  <w:style w:type="paragraph" w:styleId="Bibliography">
    <w:name w:val="Bibliography"/>
    <w:basedOn w:val="Normal"/>
    <w:qFormat/>
    <w:rsid w:val="001E696D"/>
    <w:pPr>
      <w:spacing w:after="200" w:line="240" w:lineRule="auto"/>
    </w:pPr>
    <w:rPr>
      <w:rFonts w:eastAsiaTheme="minorHAnsi"/>
      <w:kern w:val="0"/>
      <w:lang w:val="en"/>
      <w14:ligatures w14:val="none"/>
    </w:rPr>
  </w:style>
  <w:style w:type="paragraph" w:styleId="BlockText">
    <w:name w:val="Block Text"/>
    <w:basedOn w:val="BodyText"/>
    <w:next w:val="BodyText"/>
    <w:uiPriority w:val="9"/>
    <w:unhideWhenUsed/>
    <w:qFormat/>
    <w:rsid w:val="001E696D"/>
    <w:pPr>
      <w:spacing w:before="100" w:after="100"/>
      <w:ind w:left="480" w:right="480"/>
    </w:pPr>
  </w:style>
  <w:style w:type="paragraph" w:customStyle="1" w:styleId="FootnoteBlockText">
    <w:name w:val="Footnote Block Text"/>
    <w:basedOn w:val="FootnoteText"/>
    <w:next w:val="FootnoteText"/>
    <w:uiPriority w:val="9"/>
    <w:unhideWhenUsed/>
    <w:qFormat/>
    <w:rsid w:val="001E696D"/>
    <w:pPr>
      <w:spacing w:before="100" w:after="100"/>
      <w:ind w:left="480" w:right="480"/>
    </w:pPr>
    <w:rPr>
      <w:rFonts w:eastAsiaTheme="minorHAnsi"/>
      <w:kern w:val="0"/>
      <w:sz w:val="24"/>
      <w:szCs w:val="24"/>
      <w:lang w:val="en"/>
      <w14:ligatures w14:val="none"/>
    </w:rPr>
  </w:style>
  <w:style w:type="paragraph" w:customStyle="1" w:styleId="DefinitionTerm">
    <w:name w:val="Definition Term"/>
    <w:basedOn w:val="Normal"/>
    <w:next w:val="Definition"/>
    <w:rsid w:val="001E696D"/>
    <w:pPr>
      <w:keepNext/>
      <w:keepLines/>
      <w:spacing w:after="0" w:line="240" w:lineRule="auto"/>
    </w:pPr>
    <w:rPr>
      <w:rFonts w:eastAsiaTheme="minorHAnsi"/>
      <w:b/>
      <w:kern w:val="0"/>
      <w:lang w:val="en"/>
      <w14:ligatures w14:val="none"/>
    </w:rPr>
  </w:style>
  <w:style w:type="paragraph" w:customStyle="1" w:styleId="Definition">
    <w:name w:val="Definition"/>
    <w:basedOn w:val="Normal"/>
    <w:rsid w:val="001E696D"/>
    <w:pPr>
      <w:spacing w:after="200" w:line="240" w:lineRule="auto"/>
    </w:pPr>
    <w:rPr>
      <w:rFonts w:eastAsiaTheme="minorHAnsi"/>
      <w:kern w:val="0"/>
      <w:lang w:val="en"/>
      <w14:ligatures w14:val="none"/>
    </w:rPr>
  </w:style>
  <w:style w:type="paragraph" w:styleId="Caption">
    <w:name w:val="caption"/>
    <w:basedOn w:val="Normal"/>
    <w:link w:val="CaptionChar"/>
    <w:rsid w:val="001E696D"/>
    <w:pPr>
      <w:spacing w:after="120" w:line="240" w:lineRule="auto"/>
    </w:pPr>
    <w:rPr>
      <w:rFonts w:eastAsiaTheme="minorHAnsi"/>
      <w:i/>
      <w:kern w:val="0"/>
      <w:lang w:val="en"/>
      <w14:ligatures w14:val="none"/>
    </w:rPr>
  </w:style>
  <w:style w:type="paragraph" w:customStyle="1" w:styleId="TableCaption">
    <w:name w:val="Table Caption"/>
    <w:basedOn w:val="Caption"/>
    <w:rsid w:val="001E696D"/>
    <w:pPr>
      <w:keepNext/>
    </w:pPr>
  </w:style>
  <w:style w:type="paragraph" w:customStyle="1" w:styleId="ImageCaption">
    <w:name w:val="Image Caption"/>
    <w:basedOn w:val="Caption"/>
    <w:rsid w:val="001E696D"/>
  </w:style>
  <w:style w:type="paragraph" w:customStyle="1" w:styleId="Figure">
    <w:name w:val="Figure"/>
    <w:basedOn w:val="Normal"/>
    <w:rsid w:val="001E696D"/>
    <w:pPr>
      <w:spacing w:after="200" w:line="240" w:lineRule="auto"/>
    </w:pPr>
    <w:rPr>
      <w:rFonts w:eastAsiaTheme="minorHAnsi"/>
      <w:kern w:val="0"/>
      <w:lang w:val="en"/>
      <w14:ligatures w14:val="none"/>
    </w:rPr>
  </w:style>
  <w:style w:type="paragraph" w:customStyle="1" w:styleId="CaptionedFigure">
    <w:name w:val="Captioned Figure"/>
    <w:basedOn w:val="Figure"/>
    <w:rsid w:val="001E696D"/>
    <w:pPr>
      <w:keepNext/>
    </w:pPr>
  </w:style>
  <w:style w:type="character" w:customStyle="1" w:styleId="CaptionChar">
    <w:name w:val="Caption Char"/>
    <w:basedOn w:val="DefaultParagraphFont"/>
    <w:link w:val="Caption"/>
    <w:rsid w:val="001E696D"/>
    <w:rPr>
      <w:rFonts w:eastAsiaTheme="minorHAnsi"/>
      <w:i/>
      <w:kern w:val="0"/>
      <w:lang w:val="en"/>
      <w14:ligatures w14:val="none"/>
    </w:rPr>
  </w:style>
  <w:style w:type="character" w:customStyle="1" w:styleId="SectionNumber">
    <w:name w:val="Section Number"/>
    <w:basedOn w:val="CaptionChar"/>
    <w:rsid w:val="001E696D"/>
    <w:rPr>
      <w:rFonts w:eastAsiaTheme="minorHAnsi"/>
      <w:i/>
      <w:kern w:val="0"/>
      <w:lang w:val="en"/>
      <w14:ligatures w14:val="none"/>
    </w:rPr>
  </w:style>
  <w:style w:type="paragraph" w:styleId="TOCHeading">
    <w:name w:val="TOC Heading"/>
    <w:basedOn w:val="Heading1"/>
    <w:next w:val="BodyText"/>
    <w:uiPriority w:val="39"/>
    <w:unhideWhenUsed/>
    <w:qFormat/>
    <w:rsid w:val="001E696D"/>
    <w:pPr>
      <w:spacing w:before="240" w:line="259" w:lineRule="auto"/>
      <w:outlineLvl w:val="9"/>
    </w:pPr>
    <w:rPr>
      <w:kern w:val="0"/>
      <w:lang w:val="en"/>
      <w14:ligatures w14:val="none"/>
    </w:rPr>
  </w:style>
  <w:style w:type="character" w:customStyle="1" w:styleId="KeywordTok">
    <w:name w:val="KeywordTok"/>
    <w:basedOn w:val="VerbatimChar"/>
    <w:rsid w:val="001E696D"/>
    <w:rPr>
      <w:rFonts w:ascii="Consolas" w:hAnsi="Consolas"/>
      <w:b/>
      <w:i/>
      <w:color w:val="007020"/>
      <w:sz w:val="22"/>
    </w:rPr>
  </w:style>
  <w:style w:type="character" w:customStyle="1" w:styleId="DataTypeTok">
    <w:name w:val="DataTypeTok"/>
    <w:basedOn w:val="VerbatimChar"/>
    <w:rsid w:val="001E696D"/>
    <w:rPr>
      <w:rFonts w:ascii="Consolas" w:hAnsi="Consolas"/>
      <w:i/>
      <w:color w:val="902000"/>
      <w:sz w:val="22"/>
    </w:rPr>
  </w:style>
  <w:style w:type="character" w:customStyle="1" w:styleId="DecValTok">
    <w:name w:val="DecValTok"/>
    <w:basedOn w:val="VerbatimChar"/>
    <w:rsid w:val="001E696D"/>
    <w:rPr>
      <w:rFonts w:ascii="Consolas" w:hAnsi="Consolas"/>
      <w:i/>
      <w:color w:val="40A070"/>
      <w:sz w:val="22"/>
    </w:rPr>
  </w:style>
  <w:style w:type="character" w:customStyle="1" w:styleId="BaseNTok">
    <w:name w:val="BaseNTok"/>
    <w:basedOn w:val="VerbatimChar"/>
    <w:rsid w:val="001E696D"/>
    <w:rPr>
      <w:rFonts w:ascii="Consolas" w:hAnsi="Consolas"/>
      <w:i/>
      <w:color w:val="40A070"/>
      <w:sz w:val="22"/>
    </w:rPr>
  </w:style>
  <w:style w:type="character" w:customStyle="1" w:styleId="FloatTok">
    <w:name w:val="FloatTok"/>
    <w:basedOn w:val="VerbatimChar"/>
    <w:rsid w:val="001E696D"/>
    <w:rPr>
      <w:rFonts w:ascii="Consolas" w:hAnsi="Consolas"/>
      <w:i/>
      <w:color w:val="40A070"/>
      <w:sz w:val="22"/>
    </w:rPr>
  </w:style>
  <w:style w:type="character" w:customStyle="1" w:styleId="ConstantTok">
    <w:name w:val="ConstantTok"/>
    <w:basedOn w:val="VerbatimChar"/>
    <w:rsid w:val="001E696D"/>
    <w:rPr>
      <w:rFonts w:ascii="Consolas" w:hAnsi="Consolas"/>
      <w:i/>
      <w:color w:val="880000"/>
      <w:sz w:val="22"/>
    </w:rPr>
  </w:style>
  <w:style w:type="character" w:customStyle="1" w:styleId="CharTok">
    <w:name w:val="CharTok"/>
    <w:basedOn w:val="VerbatimChar"/>
    <w:rsid w:val="001E696D"/>
    <w:rPr>
      <w:rFonts w:ascii="Consolas" w:hAnsi="Consolas"/>
      <w:i/>
      <w:color w:val="4070A0"/>
      <w:sz w:val="22"/>
    </w:rPr>
  </w:style>
  <w:style w:type="character" w:customStyle="1" w:styleId="SpecialCharTok">
    <w:name w:val="SpecialCharTok"/>
    <w:basedOn w:val="VerbatimChar"/>
    <w:rsid w:val="001E696D"/>
    <w:rPr>
      <w:rFonts w:ascii="Consolas" w:hAnsi="Consolas"/>
      <w:i/>
      <w:color w:val="4070A0"/>
      <w:sz w:val="22"/>
    </w:rPr>
  </w:style>
  <w:style w:type="character" w:customStyle="1" w:styleId="StringTok">
    <w:name w:val="StringTok"/>
    <w:basedOn w:val="VerbatimChar"/>
    <w:rsid w:val="001E696D"/>
    <w:rPr>
      <w:rFonts w:ascii="Consolas" w:hAnsi="Consolas"/>
      <w:i/>
      <w:color w:val="4070A0"/>
      <w:sz w:val="22"/>
    </w:rPr>
  </w:style>
  <w:style w:type="character" w:customStyle="1" w:styleId="VerbatimStringTok">
    <w:name w:val="VerbatimStringTok"/>
    <w:basedOn w:val="VerbatimChar"/>
    <w:rsid w:val="001E696D"/>
    <w:rPr>
      <w:rFonts w:ascii="Consolas" w:hAnsi="Consolas"/>
      <w:i/>
      <w:color w:val="4070A0"/>
      <w:sz w:val="22"/>
    </w:rPr>
  </w:style>
  <w:style w:type="character" w:customStyle="1" w:styleId="SpecialStringTok">
    <w:name w:val="SpecialStringTok"/>
    <w:basedOn w:val="VerbatimChar"/>
    <w:rsid w:val="001E696D"/>
    <w:rPr>
      <w:rFonts w:ascii="Consolas" w:hAnsi="Consolas"/>
      <w:i/>
      <w:color w:val="BB6688"/>
      <w:sz w:val="22"/>
    </w:rPr>
  </w:style>
  <w:style w:type="character" w:customStyle="1" w:styleId="ImportTok">
    <w:name w:val="ImportTok"/>
    <w:basedOn w:val="VerbatimChar"/>
    <w:rsid w:val="001E696D"/>
    <w:rPr>
      <w:rFonts w:ascii="Consolas" w:hAnsi="Consolas"/>
      <w:b/>
      <w:i/>
      <w:color w:val="008000"/>
      <w:sz w:val="22"/>
    </w:rPr>
  </w:style>
  <w:style w:type="character" w:customStyle="1" w:styleId="CommentTok">
    <w:name w:val="CommentTok"/>
    <w:basedOn w:val="VerbatimChar"/>
    <w:rsid w:val="001E696D"/>
    <w:rPr>
      <w:rFonts w:ascii="Consolas" w:hAnsi="Consolas"/>
      <w:i w:val="0"/>
      <w:color w:val="60A0B0"/>
      <w:sz w:val="22"/>
    </w:rPr>
  </w:style>
  <w:style w:type="character" w:customStyle="1" w:styleId="DocumentationTok">
    <w:name w:val="DocumentationTok"/>
    <w:basedOn w:val="VerbatimChar"/>
    <w:rsid w:val="001E696D"/>
    <w:rPr>
      <w:rFonts w:ascii="Consolas" w:hAnsi="Consolas"/>
      <w:i w:val="0"/>
      <w:color w:val="BA2121"/>
      <w:sz w:val="22"/>
    </w:rPr>
  </w:style>
  <w:style w:type="character" w:customStyle="1" w:styleId="AnnotationTok">
    <w:name w:val="AnnotationTok"/>
    <w:basedOn w:val="VerbatimChar"/>
    <w:rsid w:val="001E696D"/>
    <w:rPr>
      <w:rFonts w:ascii="Consolas" w:hAnsi="Consolas"/>
      <w:b/>
      <w:i w:val="0"/>
      <w:color w:val="60A0B0"/>
      <w:sz w:val="22"/>
    </w:rPr>
  </w:style>
  <w:style w:type="character" w:customStyle="1" w:styleId="CommentVarTok">
    <w:name w:val="CommentVarTok"/>
    <w:basedOn w:val="VerbatimChar"/>
    <w:rsid w:val="001E696D"/>
    <w:rPr>
      <w:rFonts w:ascii="Consolas" w:hAnsi="Consolas"/>
      <w:b/>
      <w:i w:val="0"/>
      <w:color w:val="60A0B0"/>
      <w:sz w:val="22"/>
    </w:rPr>
  </w:style>
  <w:style w:type="character" w:customStyle="1" w:styleId="OtherTok">
    <w:name w:val="OtherTok"/>
    <w:basedOn w:val="VerbatimChar"/>
    <w:rsid w:val="001E696D"/>
    <w:rPr>
      <w:rFonts w:ascii="Consolas" w:hAnsi="Consolas"/>
      <w:i/>
      <w:color w:val="007020"/>
      <w:sz w:val="22"/>
    </w:rPr>
  </w:style>
  <w:style w:type="character" w:customStyle="1" w:styleId="FunctionTok">
    <w:name w:val="FunctionTok"/>
    <w:basedOn w:val="VerbatimChar"/>
    <w:rsid w:val="001E696D"/>
    <w:rPr>
      <w:rFonts w:ascii="Consolas" w:hAnsi="Consolas"/>
      <w:i/>
      <w:color w:val="06287E"/>
      <w:sz w:val="22"/>
    </w:rPr>
  </w:style>
  <w:style w:type="character" w:customStyle="1" w:styleId="VariableTok">
    <w:name w:val="VariableTok"/>
    <w:basedOn w:val="VerbatimChar"/>
    <w:rsid w:val="001E696D"/>
    <w:rPr>
      <w:rFonts w:ascii="Consolas" w:hAnsi="Consolas"/>
      <w:i/>
      <w:color w:val="19177C"/>
      <w:sz w:val="22"/>
    </w:rPr>
  </w:style>
  <w:style w:type="character" w:customStyle="1" w:styleId="ControlFlowTok">
    <w:name w:val="ControlFlowTok"/>
    <w:basedOn w:val="VerbatimChar"/>
    <w:rsid w:val="001E696D"/>
    <w:rPr>
      <w:rFonts w:ascii="Consolas" w:hAnsi="Consolas"/>
      <w:b/>
      <w:i/>
      <w:color w:val="007020"/>
      <w:sz w:val="22"/>
    </w:rPr>
  </w:style>
  <w:style w:type="character" w:customStyle="1" w:styleId="OperatorTok">
    <w:name w:val="OperatorTok"/>
    <w:basedOn w:val="VerbatimChar"/>
    <w:rsid w:val="001E696D"/>
    <w:rPr>
      <w:rFonts w:ascii="Consolas" w:hAnsi="Consolas"/>
      <w:i/>
      <w:color w:val="666666"/>
      <w:sz w:val="22"/>
    </w:rPr>
  </w:style>
  <w:style w:type="character" w:customStyle="1" w:styleId="BuiltInTok">
    <w:name w:val="BuiltInTok"/>
    <w:basedOn w:val="VerbatimChar"/>
    <w:rsid w:val="001E696D"/>
    <w:rPr>
      <w:rFonts w:ascii="Consolas" w:hAnsi="Consolas"/>
      <w:i/>
      <w:color w:val="008000"/>
      <w:sz w:val="22"/>
    </w:rPr>
  </w:style>
  <w:style w:type="character" w:customStyle="1" w:styleId="ExtensionTok">
    <w:name w:val="ExtensionTok"/>
    <w:basedOn w:val="VerbatimChar"/>
    <w:rsid w:val="001E696D"/>
    <w:rPr>
      <w:rFonts w:ascii="Consolas" w:hAnsi="Consolas"/>
      <w:i/>
      <w:sz w:val="22"/>
    </w:rPr>
  </w:style>
  <w:style w:type="character" w:customStyle="1" w:styleId="PreprocessorTok">
    <w:name w:val="PreprocessorTok"/>
    <w:basedOn w:val="VerbatimChar"/>
    <w:rsid w:val="001E696D"/>
    <w:rPr>
      <w:rFonts w:ascii="Consolas" w:hAnsi="Consolas"/>
      <w:i/>
      <w:color w:val="BC7A00"/>
      <w:sz w:val="22"/>
    </w:rPr>
  </w:style>
  <w:style w:type="character" w:customStyle="1" w:styleId="AttributeTok">
    <w:name w:val="AttributeTok"/>
    <w:basedOn w:val="VerbatimChar"/>
    <w:rsid w:val="001E696D"/>
    <w:rPr>
      <w:rFonts w:ascii="Consolas" w:hAnsi="Consolas"/>
      <w:i/>
      <w:color w:val="7D9029"/>
      <w:sz w:val="22"/>
    </w:rPr>
  </w:style>
  <w:style w:type="character" w:customStyle="1" w:styleId="RegionMarkerTok">
    <w:name w:val="RegionMarkerTok"/>
    <w:basedOn w:val="VerbatimChar"/>
    <w:rsid w:val="001E696D"/>
    <w:rPr>
      <w:rFonts w:ascii="Consolas" w:hAnsi="Consolas"/>
      <w:i/>
      <w:sz w:val="22"/>
    </w:rPr>
  </w:style>
  <w:style w:type="character" w:customStyle="1" w:styleId="InformationTok">
    <w:name w:val="InformationTok"/>
    <w:basedOn w:val="VerbatimChar"/>
    <w:rsid w:val="001E696D"/>
    <w:rPr>
      <w:rFonts w:ascii="Consolas" w:hAnsi="Consolas"/>
      <w:b/>
      <w:i w:val="0"/>
      <w:color w:val="60A0B0"/>
      <w:sz w:val="22"/>
    </w:rPr>
  </w:style>
  <w:style w:type="character" w:customStyle="1" w:styleId="WarningTok">
    <w:name w:val="WarningTok"/>
    <w:basedOn w:val="VerbatimChar"/>
    <w:rsid w:val="001E696D"/>
    <w:rPr>
      <w:rFonts w:ascii="Consolas" w:hAnsi="Consolas"/>
      <w:b/>
      <w:i w:val="0"/>
      <w:color w:val="60A0B0"/>
      <w:sz w:val="22"/>
    </w:rPr>
  </w:style>
  <w:style w:type="character" w:customStyle="1" w:styleId="AlertTok">
    <w:name w:val="AlertTok"/>
    <w:basedOn w:val="VerbatimChar"/>
    <w:rsid w:val="001E696D"/>
    <w:rPr>
      <w:rFonts w:ascii="Consolas" w:hAnsi="Consolas"/>
      <w:b/>
      <w:i/>
      <w:color w:val="FF0000"/>
      <w:sz w:val="22"/>
    </w:rPr>
  </w:style>
  <w:style w:type="character" w:customStyle="1" w:styleId="ErrorTok">
    <w:name w:val="ErrorTok"/>
    <w:basedOn w:val="VerbatimChar"/>
    <w:rsid w:val="001E696D"/>
    <w:rPr>
      <w:rFonts w:ascii="Consolas" w:hAnsi="Consolas"/>
      <w:b/>
      <w:i/>
      <w:color w:val="FF0000"/>
      <w:sz w:val="22"/>
    </w:rPr>
  </w:style>
  <w:style w:type="character" w:customStyle="1" w:styleId="NormalTok">
    <w:name w:val="NormalTok"/>
    <w:basedOn w:val="VerbatimChar"/>
    <w:rsid w:val="001E696D"/>
    <w:rPr>
      <w:rFonts w:ascii="Consolas" w:hAnsi="Consolas"/>
      <w:i/>
      <w:sz w:val="22"/>
    </w:rPr>
  </w:style>
  <w:style w:type="paragraph" w:styleId="TOC1">
    <w:name w:val="toc 1"/>
    <w:basedOn w:val="Normal"/>
    <w:next w:val="Normal"/>
    <w:autoRedefine/>
    <w:uiPriority w:val="39"/>
    <w:unhideWhenUsed/>
    <w:rsid w:val="00602979"/>
    <w:pPr>
      <w:spacing w:after="100"/>
    </w:pPr>
  </w:style>
  <w:style w:type="paragraph" w:styleId="TOC2">
    <w:name w:val="toc 2"/>
    <w:basedOn w:val="Normal"/>
    <w:next w:val="Normal"/>
    <w:autoRedefine/>
    <w:uiPriority w:val="39"/>
    <w:unhideWhenUsed/>
    <w:rsid w:val="00602979"/>
    <w:pPr>
      <w:spacing w:after="100"/>
      <w:ind w:left="240"/>
    </w:pPr>
  </w:style>
  <w:style w:type="paragraph" w:styleId="TOC3">
    <w:name w:val="toc 3"/>
    <w:basedOn w:val="Normal"/>
    <w:next w:val="Normal"/>
    <w:autoRedefine/>
    <w:uiPriority w:val="39"/>
    <w:unhideWhenUsed/>
    <w:rsid w:val="00602979"/>
    <w:pPr>
      <w:spacing w:after="100"/>
      <w:ind w:left="480"/>
    </w:pPr>
  </w:style>
  <w:style w:type="character" w:styleId="CommentReference">
    <w:name w:val="annotation reference"/>
    <w:basedOn w:val="DefaultParagraphFont"/>
    <w:uiPriority w:val="99"/>
    <w:semiHidden/>
    <w:unhideWhenUsed/>
    <w:rsid w:val="00452CA3"/>
    <w:rPr>
      <w:sz w:val="16"/>
      <w:szCs w:val="16"/>
    </w:rPr>
  </w:style>
  <w:style w:type="paragraph" w:styleId="CommentText">
    <w:name w:val="annotation text"/>
    <w:basedOn w:val="Normal"/>
    <w:link w:val="CommentTextChar"/>
    <w:uiPriority w:val="99"/>
    <w:semiHidden/>
    <w:unhideWhenUsed/>
    <w:rsid w:val="00452CA3"/>
    <w:pPr>
      <w:spacing w:line="240" w:lineRule="auto"/>
    </w:pPr>
    <w:rPr>
      <w:sz w:val="20"/>
      <w:szCs w:val="20"/>
    </w:rPr>
  </w:style>
  <w:style w:type="character" w:customStyle="1" w:styleId="CommentTextChar">
    <w:name w:val="Comment Text Char"/>
    <w:basedOn w:val="DefaultParagraphFont"/>
    <w:link w:val="CommentText"/>
    <w:uiPriority w:val="99"/>
    <w:semiHidden/>
    <w:rsid w:val="00452CA3"/>
    <w:rPr>
      <w:sz w:val="20"/>
      <w:szCs w:val="20"/>
    </w:rPr>
  </w:style>
  <w:style w:type="paragraph" w:styleId="CommentSubject">
    <w:name w:val="annotation subject"/>
    <w:basedOn w:val="CommentText"/>
    <w:next w:val="CommentText"/>
    <w:link w:val="CommentSubjectChar"/>
    <w:uiPriority w:val="99"/>
    <w:semiHidden/>
    <w:unhideWhenUsed/>
    <w:rsid w:val="00452CA3"/>
    <w:rPr>
      <w:b/>
      <w:bCs/>
    </w:rPr>
  </w:style>
  <w:style w:type="character" w:customStyle="1" w:styleId="CommentSubjectChar">
    <w:name w:val="Comment Subject Char"/>
    <w:basedOn w:val="CommentTextChar"/>
    <w:link w:val="CommentSubject"/>
    <w:uiPriority w:val="99"/>
    <w:semiHidden/>
    <w:rsid w:val="00452C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1bf45b6-5649-4236-82a3-f45024cd282e}" enabled="1" method="Standard" siteId="{31a2fec0-266b-4c67-b56e-2796d8f59c36}"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Quaranta</dc:creator>
  <cp:keywords/>
  <dc:description/>
  <cp:lastModifiedBy>Dario Quaranta</cp:lastModifiedBy>
  <cp:revision>2</cp:revision>
  <dcterms:created xsi:type="dcterms:W3CDTF">2026-05-27T00:56:00Z</dcterms:created>
  <dcterms:modified xsi:type="dcterms:W3CDTF">2026-05-27T00:56:00Z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667bfb09,3bda1695,17d67224</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2026-05-06T14:02:28Z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4e21461e-1508-40a0-b328-82e7ee2e9494</vt:lpwstr>
  </property>
  <property fmtid="{D5CDD505-2E9C-101B-9397-08002B2CF9AE}" pid="11" name="MSIP_Label_f1bf45b6-5649-4236-82a3-f45024cd282e_ContentBits">
    <vt:lpwstr>2</vt:lpwstr>
  </property>
  <property fmtid="{D5CDD505-2E9C-101B-9397-08002B2CF9AE}" pid="12" name="MSIP_Label_f1bf45b6-5649-4236-82a3-f45024cd282e_Tag">
    <vt:lpwstr>60, 3, 0, 1</vt:lpwstr>
  </property>
</Properties>
</file>